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4ED" w:rsidRPr="00197FDF" w:rsidRDefault="00E414ED" w:rsidP="00E414ED">
      <w:r w:rsidRPr="00197FDF">
        <w:rPr>
          <w:b/>
        </w:rPr>
        <w:t>Referenties</w:t>
      </w:r>
      <w:r>
        <w:rPr>
          <w:b/>
        </w:rPr>
        <w:t xml:space="preserve"> bij het opiniestuk van prof. Boone, gepubliceerd op 18/02/2022</w:t>
      </w:r>
      <w:bookmarkStart w:id="0" w:name="_GoBack"/>
      <w:bookmarkEnd w:id="0"/>
    </w:p>
    <w:p w:rsidR="00E414ED" w:rsidRPr="00197FDF" w:rsidRDefault="00E414ED" w:rsidP="00E414ED">
      <w:pPr>
        <w:pStyle w:val="ListParagraph"/>
        <w:numPr>
          <w:ilvl w:val="0"/>
          <w:numId w:val="1"/>
        </w:numPr>
      </w:pPr>
      <w:r>
        <w:fldChar w:fldCharType="begin"/>
      </w:r>
      <w:r>
        <w:instrText xml:space="preserve"> HYPERLINK "https://www.vrt.be/vrtnws/nl/2021/02/27/coronavaccinatie-en-zwangere-vrouwen-nieuwste-gegevens-wijzen-o/" </w:instrText>
      </w:r>
      <w:r>
        <w:fldChar w:fldCharType="separate"/>
      </w:r>
      <w:r w:rsidRPr="00197FDF">
        <w:rPr>
          <w:rStyle w:val="Hyperlink"/>
        </w:rPr>
        <w:t>https://www.vrt.be/vrtnws/nl/2021/02/27/coronavaccinatie-en-zwangere-vrouwen-nieuwste-gegevens-wijzen-o/</w:t>
      </w:r>
      <w:r>
        <w:rPr>
          <w:rStyle w:val="Hyperlink"/>
        </w:rPr>
        <w:fldChar w:fldCharType="end"/>
      </w:r>
    </w:p>
    <w:p w:rsidR="00E414ED" w:rsidRPr="00197FDF" w:rsidRDefault="00E414ED" w:rsidP="00E414ED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 w:rsidRPr="00197FDF">
        <w:t>Mullins</w:t>
      </w:r>
      <w:proofErr w:type="spellEnd"/>
      <w:r w:rsidRPr="00197FDF">
        <w:t xml:space="preserve"> </w:t>
      </w:r>
      <w:proofErr w:type="gramStart"/>
      <w:r w:rsidRPr="00197FDF">
        <w:t>E. ,</w:t>
      </w:r>
      <w:proofErr w:type="gramEnd"/>
      <w:r w:rsidRPr="00197FDF">
        <w:t xml:space="preserve"> </w:t>
      </w:r>
      <w:proofErr w:type="spellStart"/>
      <w:r w:rsidRPr="00197FDF">
        <w:t>Hudak</w:t>
      </w:r>
      <w:proofErr w:type="spellEnd"/>
      <w:r w:rsidRPr="00197FDF">
        <w:t xml:space="preserve"> M.L. E. MULLINS, </w:t>
      </w:r>
      <w:proofErr w:type="spellStart"/>
      <w:r w:rsidRPr="00197FDF">
        <w:t>Banerjee</w:t>
      </w:r>
      <w:proofErr w:type="spellEnd"/>
      <w:r w:rsidRPr="00197FDF">
        <w:t xml:space="preserve"> J., et al. </w:t>
      </w:r>
      <w:r w:rsidRPr="00197FDF">
        <w:rPr>
          <w:lang w:val="en-US"/>
        </w:rPr>
        <w:t xml:space="preserve">Pregnancy and neonatal outcomes of COVID-19: </w:t>
      </w:r>
      <w:proofErr w:type="spellStart"/>
      <w:r w:rsidRPr="00197FDF">
        <w:rPr>
          <w:lang w:val="en-US"/>
        </w:rPr>
        <w:t>coreporting</w:t>
      </w:r>
      <w:proofErr w:type="spellEnd"/>
      <w:r w:rsidRPr="00197FDF">
        <w:rPr>
          <w:lang w:val="en-US"/>
        </w:rPr>
        <w:t xml:space="preserve"> of common outcomes from PAN-COVID and AAP-SONPM registries. Ultrasound </w:t>
      </w:r>
      <w:proofErr w:type="spellStart"/>
      <w:r w:rsidRPr="00197FDF">
        <w:rPr>
          <w:lang w:val="en-US"/>
        </w:rPr>
        <w:t>Obstet</w:t>
      </w:r>
      <w:proofErr w:type="spellEnd"/>
      <w:r w:rsidRPr="00197FDF">
        <w:rPr>
          <w:lang w:val="en-US"/>
        </w:rPr>
        <w:t xml:space="preserve"> Gynecol. 2021; 57: 573–581.</w:t>
      </w:r>
    </w:p>
    <w:p w:rsidR="00E414ED" w:rsidRPr="00197FDF" w:rsidRDefault="00E414ED" w:rsidP="00E414ED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 w:rsidRPr="00197FDF">
        <w:rPr>
          <w:lang w:val="en-US"/>
        </w:rPr>
        <w:t>Shalinii</w:t>
      </w:r>
      <w:proofErr w:type="spellEnd"/>
      <w:r w:rsidRPr="00197FDF">
        <w:rPr>
          <w:lang w:val="en-US"/>
        </w:rPr>
        <w:t xml:space="preserve"> Hillson, Sue Costa Clemens, Shabir A </w:t>
      </w:r>
      <w:proofErr w:type="spellStart"/>
      <w:r w:rsidRPr="00197FDF">
        <w:rPr>
          <w:lang w:val="en-US"/>
        </w:rPr>
        <w:t>Madhi</w:t>
      </w:r>
      <w:proofErr w:type="spellEnd"/>
      <w:r w:rsidRPr="00197FDF">
        <w:rPr>
          <w:lang w:val="en-US"/>
        </w:rPr>
        <w:t>, et al. Fertility rates and birth outcomes after ChAdOx1 nCoV-19 (AZD1222) vaccination. The Lancet. 2021; 398: 1683-84.</w:t>
      </w:r>
    </w:p>
    <w:p w:rsidR="00E414ED" w:rsidRPr="00197FDF" w:rsidRDefault="00E414ED" w:rsidP="00E414ED">
      <w:pPr>
        <w:pStyle w:val="ListParagraph"/>
        <w:numPr>
          <w:ilvl w:val="0"/>
          <w:numId w:val="1"/>
        </w:numPr>
        <w:rPr>
          <w:lang w:val="en-US"/>
        </w:rPr>
      </w:pPr>
      <w:hyperlink r:id="rId5" w:history="1">
        <w:r w:rsidRPr="00197FDF">
          <w:rPr>
            <w:rStyle w:val="Hyperlink"/>
            <w:lang w:val="en-US"/>
          </w:rPr>
          <w:t>https://www.vrt.be/vrtnws/nl/2021/11/03/tijdelijke-en-onschadelijke-menstruatieverandering-na-coronavacc/</w:t>
        </w:r>
      </w:hyperlink>
    </w:p>
    <w:p w:rsidR="00E414ED" w:rsidRPr="00197FDF" w:rsidRDefault="00E414ED" w:rsidP="00E414ED">
      <w:pPr>
        <w:pStyle w:val="ListParagraph"/>
        <w:numPr>
          <w:ilvl w:val="0"/>
          <w:numId w:val="1"/>
        </w:numPr>
        <w:rPr>
          <w:lang w:val="en-US"/>
        </w:rPr>
      </w:pPr>
      <w:r w:rsidRPr="00197FDF">
        <w:rPr>
          <w:lang w:val="en-US"/>
        </w:rPr>
        <w:t>Victoria Male, Menstrual changes after covid-19 vaccination. BMJ ${year};</w:t>
      </w:r>
      <w:proofErr w:type="gramStart"/>
      <w:r w:rsidRPr="00197FDF">
        <w:rPr>
          <w:lang w:val="en-US"/>
        </w:rPr>
        <w:t>374:n</w:t>
      </w:r>
      <w:proofErr w:type="gramEnd"/>
      <w:r w:rsidRPr="00197FDF">
        <w:rPr>
          <w:lang w:val="en-US"/>
        </w:rPr>
        <w:t xml:space="preserve">2211 </w:t>
      </w:r>
      <w:hyperlink r:id="rId6" w:history="1">
        <w:r w:rsidRPr="00197FDF">
          <w:rPr>
            <w:rStyle w:val="Hyperlink"/>
            <w:lang w:val="en-US"/>
          </w:rPr>
          <w:t>http://dx.doi.org/10.1136/bmj.n2211</w:t>
        </w:r>
      </w:hyperlink>
    </w:p>
    <w:p w:rsidR="00E414ED" w:rsidRPr="00197FDF" w:rsidRDefault="00E414ED" w:rsidP="00E414ED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 w:rsidRPr="00197FDF">
        <w:rPr>
          <w:lang w:val="en-US"/>
        </w:rPr>
        <w:t>Monin</w:t>
      </w:r>
      <w:proofErr w:type="spellEnd"/>
      <w:r w:rsidRPr="00197FDF">
        <w:rPr>
          <w:lang w:val="en-US"/>
        </w:rPr>
        <w:t xml:space="preserve"> L., </w:t>
      </w:r>
      <w:proofErr w:type="spellStart"/>
      <w:r w:rsidRPr="00197FDF">
        <w:rPr>
          <w:lang w:val="en-US"/>
        </w:rPr>
        <w:t>Whettlock</w:t>
      </w:r>
      <w:proofErr w:type="spellEnd"/>
      <w:r w:rsidRPr="00197FDF">
        <w:rPr>
          <w:lang w:val="en-US"/>
        </w:rPr>
        <w:t xml:space="preserve"> E.M., Male V. Immune responses in the human female reproductive tract. Immunology. 2019; 160, 106–115.</w:t>
      </w:r>
    </w:p>
    <w:p w:rsidR="00E414ED" w:rsidRPr="00197FDF" w:rsidRDefault="00E414ED" w:rsidP="00E414ED">
      <w:pPr>
        <w:pStyle w:val="ListParagraph"/>
        <w:numPr>
          <w:ilvl w:val="0"/>
          <w:numId w:val="1"/>
        </w:numPr>
        <w:rPr>
          <w:lang w:val="en-US"/>
        </w:rPr>
      </w:pPr>
      <w:hyperlink r:id="rId7" w:anchor="latest-safety-information-section" w:history="1">
        <w:r w:rsidRPr="00197FDF">
          <w:rPr>
            <w:rStyle w:val="Hyperlink"/>
            <w:lang w:val="en-US"/>
          </w:rPr>
          <w:t>https://www.ema.europa.eu/en/human-regulatory/overview/public-health-threats/coronavirus-disease-covid-19/treatments-vaccines/vaccines-covid-19/safety-covid-19-vaccines#latest-safety-information-section</w:t>
        </w:r>
      </w:hyperlink>
    </w:p>
    <w:p w:rsidR="00E414ED" w:rsidRPr="00197FDF" w:rsidRDefault="00E414ED" w:rsidP="00E414ED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 w:rsidRPr="00197FDF">
        <w:rPr>
          <w:lang w:val="en-US"/>
        </w:rPr>
        <w:t>Karagiannis</w:t>
      </w:r>
      <w:proofErr w:type="spellEnd"/>
      <w:r w:rsidRPr="00197FDF">
        <w:rPr>
          <w:lang w:val="en-US"/>
        </w:rPr>
        <w:t xml:space="preserve"> A.</w:t>
      </w:r>
      <w:proofErr w:type="gramStart"/>
      <w:r w:rsidRPr="00197FDF">
        <w:rPr>
          <w:lang w:val="en-US"/>
        </w:rPr>
        <w:t xml:space="preserve">,  </w:t>
      </w:r>
      <w:proofErr w:type="spellStart"/>
      <w:r w:rsidRPr="00197FDF">
        <w:rPr>
          <w:lang w:val="en-US"/>
        </w:rPr>
        <w:t>Harsoulis</w:t>
      </w:r>
      <w:proofErr w:type="spellEnd"/>
      <w:proofErr w:type="gramEnd"/>
      <w:r w:rsidRPr="00197FDF">
        <w:rPr>
          <w:lang w:val="en-US"/>
        </w:rPr>
        <w:t xml:space="preserve"> F. Gonadal dysfunction in systemic diseases. European Journal of Endocrinology. 2005; 152: 501–513.</w:t>
      </w:r>
    </w:p>
    <w:p w:rsidR="00E414ED" w:rsidRPr="00197FDF" w:rsidRDefault="00E414ED" w:rsidP="00E414ED">
      <w:pPr>
        <w:pStyle w:val="ListParagraph"/>
        <w:numPr>
          <w:ilvl w:val="0"/>
          <w:numId w:val="1"/>
        </w:numPr>
        <w:rPr>
          <w:lang w:val="en-US"/>
        </w:rPr>
      </w:pPr>
      <w:r w:rsidRPr="00197FDF">
        <w:rPr>
          <w:lang w:val="en-US"/>
        </w:rPr>
        <w:t xml:space="preserve">Sharp G.C., Fraser A., Sawyer G, et al. The COVID-19 pandemic and the menstrual cycle: research gaps and opportunities. </w:t>
      </w:r>
      <w:r w:rsidRPr="00197FDF">
        <w:t xml:space="preserve">International Journal of </w:t>
      </w:r>
      <w:proofErr w:type="spellStart"/>
      <w:r w:rsidRPr="00197FDF">
        <w:t>Epidemiology</w:t>
      </w:r>
      <w:proofErr w:type="spellEnd"/>
      <w:r w:rsidRPr="00197FDF">
        <w:t>.  2021, 1–10</w:t>
      </w:r>
    </w:p>
    <w:p w:rsidR="00E414ED" w:rsidRPr="00197FDF" w:rsidRDefault="00E414ED" w:rsidP="00E414ED">
      <w:pPr>
        <w:pStyle w:val="ListParagraph"/>
        <w:numPr>
          <w:ilvl w:val="0"/>
          <w:numId w:val="1"/>
        </w:numPr>
        <w:rPr>
          <w:lang w:val="en-US"/>
        </w:rPr>
      </w:pPr>
      <w:hyperlink r:id="rId8" w:history="1">
        <w:r w:rsidRPr="00197FDF">
          <w:rPr>
            <w:rStyle w:val="Hyperlink"/>
            <w:lang w:val="en-US"/>
          </w:rPr>
          <w:t>https://www.uptodate.com/contents/epidemiology-pathogenesis-and-clinical-manifestations-of-celiac-disease-in-adults?search=coeliakie&amp;source=search_result&amp;selectedTitle=2~150&amp;usage_type=default&amp;display_rank=2</w:t>
        </w:r>
      </w:hyperlink>
    </w:p>
    <w:p w:rsidR="00E414ED" w:rsidRPr="00197FDF" w:rsidRDefault="00E414ED" w:rsidP="00E414ED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 w:rsidRPr="0033339F">
        <w:rPr>
          <w:lang w:val="en-US"/>
        </w:rPr>
        <w:t>Smecuol</w:t>
      </w:r>
      <w:proofErr w:type="spellEnd"/>
      <w:r w:rsidRPr="0033339F">
        <w:rPr>
          <w:lang w:val="en-US"/>
        </w:rPr>
        <w:t xml:space="preserve"> E., Maurino E., Vazquez H., et al. </w:t>
      </w:r>
      <w:proofErr w:type="spellStart"/>
      <w:r w:rsidRPr="00197FDF">
        <w:rPr>
          <w:lang w:val="en-US"/>
        </w:rPr>
        <w:t>Gynaecological</w:t>
      </w:r>
      <w:proofErr w:type="spellEnd"/>
      <w:r w:rsidRPr="00197FDF">
        <w:rPr>
          <w:lang w:val="en-US"/>
        </w:rPr>
        <w:t xml:space="preserve"> and obstetric disorders in coeliac disease: frequent clinical onset during pregnancy or the puerperium. Eur J Gastroenterol </w:t>
      </w:r>
      <w:proofErr w:type="spellStart"/>
      <w:r w:rsidRPr="00197FDF">
        <w:rPr>
          <w:lang w:val="en-US"/>
        </w:rPr>
        <w:t>Hepatol</w:t>
      </w:r>
      <w:proofErr w:type="spellEnd"/>
      <w:r w:rsidRPr="00197FDF">
        <w:rPr>
          <w:lang w:val="en-US"/>
        </w:rPr>
        <w:t>. 1996; 8 (1): 63-89.</w:t>
      </w:r>
    </w:p>
    <w:p w:rsidR="00E414ED" w:rsidRPr="00197FDF" w:rsidRDefault="00E414ED" w:rsidP="00E414ED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 w:rsidRPr="00197FDF">
        <w:rPr>
          <w:rFonts w:ascii="Fira Sans" w:hAnsi="Fira Sans"/>
          <w:color w:val="333333"/>
          <w:sz w:val="20"/>
          <w:szCs w:val="20"/>
          <w:shd w:val="clear" w:color="auto" w:fill="FFFFFF"/>
          <w:lang w:val="fr-BE"/>
        </w:rPr>
        <w:t>Santonicola</w:t>
      </w:r>
      <w:proofErr w:type="spellEnd"/>
      <w:r w:rsidRPr="00197FDF">
        <w:rPr>
          <w:rFonts w:ascii="Fira Sans" w:hAnsi="Fira Sans"/>
          <w:color w:val="333333"/>
          <w:sz w:val="20"/>
          <w:szCs w:val="20"/>
          <w:shd w:val="clear" w:color="auto" w:fill="FFFFFF"/>
          <w:lang w:val="fr-BE"/>
        </w:rPr>
        <w:t xml:space="preserve"> A., </w:t>
      </w:r>
      <w:proofErr w:type="spellStart"/>
      <w:r w:rsidRPr="00197FDF">
        <w:rPr>
          <w:rFonts w:ascii="Fira Sans" w:hAnsi="Fira Sans"/>
          <w:color w:val="333333"/>
          <w:sz w:val="20"/>
          <w:szCs w:val="20"/>
          <w:shd w:val="clear" w:color="auto" w:fill="FFFFFF"/>
          <w:lang w:val="fr-BE"/>
        </w:rPr>
        <w:t>Iovino</w:t>
      </w:r>
      <w:proofErr w:type="spellEnd"/>
      <w:r w:rsidRPr="00197FDF">
        <w:rPr>
          <w:rFonts w:ascii="Fira Sans" w:hAnsi="Fira Sans"/>
          <w:color w:val="333333"/>
          <w:sz w:val="20"/>
          <w:szCs w:val="20"/>
          <w:shd w:val="clear" w:color="auto" w:fill="FFFFFF"/>
          <w:lang w:val="fr-BE"/>
        </w:rPr>
        <w:t xml:space="preserve"> P., </w:t>
      </w:r>
      <w:proofErr w:type="spellStart"/>
      <w:r w:rsidRPr="00197FDF">
        <w:rPr>
          <w:rFonts w:ascii="Fira Sans" w:hAnsi="Fira Sans"/>
          <w:color w:val="333333"/>
          <w:sz w:val="20"/>
          <w:szCs w:val="20"/>
          <w:shd w:val="clear" w:color="auto" w:fill="FFFFFF"/>
          <w:lang w:val="fr-BE"/>
        </w:rPr>
        <w:t>Cappello</w:t>
      </w:r>
      <w:proofErr w:type="spellEnd"/>
      <w:r w:rsidRPr="00197FDF">
        <w:rPr>
          <w:rFonts w:ascii="Fira Sans" w:hAnsi="Fira Sans"/>
          <w:color w:val="333333"/>
          <w:sz w:val="20"/>
          <w:szCs w:val="20"/>
          <w:shd w:val="clear" w:color="auto" w:fill="FFFFFF"/>
          <w:lang w:val="fr-BE"/>
        </w:rPr>
        <w:t xml:space="preserve"> C., et al. </w:t>
      </w:r>
      <w:r w:rsidRPr="00197FDF">
        <w:rPr>
          <w:rFonts w:ascii="Fira Sans" w:hAnsi="Fira Sans"/>
          <w:color w:val="333333"/>
          <w:sz w:val="20"/>
          <w:szCs w:val="20"/>
          <w:shd w:val="clear" w:color="auto" w:fill="FFFFFF"/>
          <w:lang w:val="en-US"/>
        </w:rPr>
        <w:t xml:space="preserve">From </w:t>
      </w:r>
      <w:proofErr w:type="spellStart"/>
      <w:r w:rsidRPr="00197FDF">
        <w:rPr>
          <w:rFonts w:ascii="Fira Sans" w:hAnsi="Fira Sans"/>
          <w:color w:val="333333"/>
          <w:sz w:val="20"/>
          <w:szCs w:val="20"/>
          <w:shd w:val="clear" w:color="auto" w:fill="FFFFFF"/>
          <w:lang w:val="en-US"/>
        </w:rPr>
        <w:t>menarch</w:t>
      </w:r>
      <w:proofErr w:type="spellEnd"/>
      <w:r w:rsidRPr="00197FDF">
        <w:rPr>
          <w:rFonts w:ascii="Fira Sans" w:hAnsi="Fira Sans"/>
          <w:color w:val="333333"/>
          <w:sz w:val="20"/>
          <w:szCs w:val="20"/>
          <w:shd w:val="clear" w:color="auto" w:fill="FFFFFF"/>
          <w:lang w:val="en-US"/>
        </w:rPr>
        <w:t xml:space="preserve"> to menopause: the fertile lifespan of celiac women. Menopause. 2011; 18 (10): 1125-1130.</w:t>
      </w:r>
    </w:p>
    <w:p w:rsidR="00E414ED" w:rsidRPr="00197FDF" w:rsidRDefault="00E414ED" w:rsidP="00E414ED">
      <w:pPr>
        <w:pStyle w:val="ListParagraph"/>
        <w:numPr>
          <w:ilvl w:val="0"/>
          <w:numId w:val="1"/>
        </w:numPr>
        <w:rPr>
          <w:lang w:val="en-US"/>
        </w:rPr>
      </w:pPr>
      <w:r w:rsidRPr="00197FDF">
        <w:rPr>
          <w:lang w:val="en-US"/>
        </w:rPr>
        <w:t xml:space="preserve">Abadie V., Kim S.M., Lejeune T. IL-15, gluten and HLA-DQ8 drive tissue destruction in coeliac disease. </w:t>
      </w:r>
      <w:r w:rsidRPr="00197FDF">
        <w:t xml:space="preserve">Nature. 2020 </w:t>
      </w:r>
      <w:proofErr w:type="spellStart"/>
      <w:proofErr w:type="gramStart"/>
      <w:r w:rsidRPr="00197FDF">
        <w:t>February</w:t>
      </w:r>
      <w:proofErr w:type="spellEnd"/>
      <w:r w:rsidRPr="00197FDF">
        <w:t xml:space="preserve"> ;</w:t>
      </w:r>
      <w:proofErr w:type="gramEnd"/>
      <w:r w:rsidRPr="00197FDF">
        <w:t xml:space="preserve"> 578(7796): 600–604.</w:t>
      </w:r>
    </w:p>
    <w:p w:rsidR="00E414ED" w:rsidRPr="00197FDF" w:rsidRDefault="00E414ED" w:rsidP="00E414ED">
      <w:pPr>
        <w:pStyle w:val="ListParagraph"/>
        <w:numPr>
          <w:ilvl w:val="0"/>
          <w:numId w:val="1"/>
        </w:numPr>
        <w:rPr>
          <w:lang w:val="en-US"/>
        </w:rPr>
      </w:pPr>
      <w:r w:rsidRPr="00197FDF">
        <w:rPr>
          <w:lang w:val="en-US"/>
        </w:rPr>
        <w:t xml:space="preserve">Abadie V. and Jabri B. IL-15: a central regulator of celiac disease immunopathology. </w:t>
      </w:r>
      <w:proofErr w:type="spellStart"/>
      <w:r w:rsidRPr="00197FDF">
        <w:t>Immunol</w:t>
      </w:r>
      <w:proofErr w:type="spellEnd"/>
      <w:r w:rsidRPr="00197FDF">
        <w:t xml:space="preserve"> </w:t>
      </w:r>
      <w:proofErr w:type="spellStart"/>
      <w:r w:rsidRPr="00197FDF">
        <w:t>Rev</w:t>
      </w:r>
      <w:proofErr w:type="spellEnd"/>
      <w:r w:rsidRPr="00197FDF">
        <w:t xml:space="preserve">. 2014 </w:t>
      </w:r>
      <w:proofErr w:type="spellStart"/>
      <w:proofErr w:type="gramStart"/>
      <w:r w:rsidRPr="00197FDF">
        <w:t>July</w:t>
      </w:r>
      <w:proofErr w:type="spellEnd"/>
      <w:r w:rsidRPr="00197FDF">
        <w:t xml:space="preserve"> ;</w:t>
      </w:r>
      <w:proofErr w:type="gramEnd"/>
      <w:r w:rsidRPr="00197FDF">
        <w:t xml:space="preserve"> 260(1): 221–234.</w:t>
      </w:r>
    </w:p>
    <w:p w:rsidR="00E414ED" w:rsidRPr="00197FDF" w:rsidRDefault="00E414ED" w:rsidP="00E414ED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 w:rsidRPr="00197FDF">
        <w:rPr>
          <w:lang w:val="fr-BE"/>
        </w:rPr>
        <w:t>Bondar</w:t>
      </w:r>
      <w:proofErr w:type="spellEnd"/>
      <w:r w:rsidRPr="00197FDF">
        <w:rPr>
          <w:lang w:val="fr-BE"/>
        </w:rPr>
        <w:t xml:space="preserve"> C, Araya RE, Guzman L, Rua EC, </w:t>
      </w:r>
      <w:proofErr w:type="spellStart"/>
      <w:r w:rsidRPr="00197FDF">
        <w:rPr>
          <w:lang w:val="fr-BE"/>
        </w:rPr>
        <w:t>Chopita</w:t>
      </w:r>
      <w:proofErr w:type="spellEnd"/>
      <w:r w:rsidRPr="00197FDF">
        <w:rPr>
          <w:lang w:val="fr-BE"/>
        </w:rPr>
        <w:t xml:space="preserve"> N, et al. </w:t>
      </w:r>
      <w:r w:rsidRPr="00197FDF">
        <w:rPr>
          <w:lang w:val="en-US"/>
        </w:rPr>
        <w:t xml:space="preserve">Role of CXCR3/CXCL10 Axis in Immune Cell Recruitment into the Small Intestine in Celiac Disease. </w:t>
      </w:r>
      <w:proofErr w:type="spellStart"/>
      <w:r w:rsidRPr="00197FDF">
        <w:rPr>
          <w:lang w:val="en-US"/>
        </w:rPr>
        <w:t>PLoS</w:t>
      </w:r>
      <w:proofErr w:type="spellEnd"/>
      <w:r w:rsidRPr="00197FDF">
        <w:rPr>
          <w:lang w:val="en-US"/>
        </w:rPr>
        <w:t xml:space="preserve"> ONE. 2014; 9(2): e89068. </w:t>
      </w:r>
      <w:proofErr w:type="gramStart"/>
      <w:r w:rsidRPr="00197FDF">
        <w:rPr>
          <w:lang w:val="en-US"/>
        </w:rPr>
        <w:t>doi:10.1371/journal.pone</w:t>
      </w:r>
      <w:proofErr w:type="gramEnd"/>
      <w:r w:rsidRPr="00197FDF">
        <w:rPr>
          <w:lang w:val="en-US"/>
        </w:rPr>
        <w:t>.0089068</w:t>
      </w:r>
    </w:p>
    <w:p w:rsidR="00E414ED" w:rsidRPr="00197FDF" w:rsidRDefault="00E414ED" w:rsidP="00E414ED">
      <w:pPr>
        <w:pStyle w:val="ListParagraph"/>
        <w:numPr>
          <w:ilvl w:val="0"/>
          <w:numId w:val="1"/>
        </w:numPr>
        <w:rPr>
          <w:lang w:val="en-US"/>
        </w:rPr>
      </w:pPr>
      <w:r w:rsidRPr="00197FDF">
        <w:rPr>
          <w:lang w:val="fr-BE"/>
        </w:rPr>
        <w:t xml:space="preserve">Ponce de León </w:t>
      </w:r>
      <w:proofErr w:type="gramStart"/>
      <w:r w:rsidRPr="00197FDF">
        <w:rPr>
          <w:lang w:val="fr-BE"/>
        </w:rPr>
        <w:t>C. ,</w:t>
      </w:r>
      <w:proofErr w:type="gramEnd"/>
      <w:r w:rsidRPr="00197FDF">
        <w:rPr>
          <w:lang w:val="fr-BE"/>
        </w:rPr>
        <w:t xml:space="preserve"> </w:t>
      </w:r>
      <w:proofErr w:type="spellStart"/>
      <w:r w:rsidRPr="00197FDF">
        <w:rPr>
          <w:lang w:val="fr-BE"/>
        </w:rPr>
        <w:t>López</w:t>
      </w:r>
      <w:proofErr w:type="spellEnd"/>
      <w:r w:rsidRPr="00197FDF">
        <w:rPr>
          <w:lang w:val="fr-BE"/>
        </w:rPr>
        <w:t xml:space="preserve">-Casado M-A. , </w:t>
      </w:r>
      <w:proofErr w:type="spellStart"/>
      <w:r w:rsidRPr="00197FDF">
        <w:rPr>
          <w:lang w:val="fr-BE"/>
        </w:rPr>
        <w:t>Lorite</w:t>
      </w:r>
      <w:proofErr w:type="spellEnd"/>
      <w:r w:rsidRPr="00197FDF">
        <w:rPr>
          <w:lang w:val="fr-BE"/>
        </w:rPr>
        <w:t xml:space="preserve"> P., et al. </w:t>
      </w:r>
      <w:r w:rsidRPr="00197FDF">
        <w:rPr>
          <w:lang w:val="en-US"/>
        </w:rPr>
        <w:t>Dysregulation of the PD-1/PD-L1 pathway contributes to the pathogenesis of celiac disease. Cellular &amp; Molecular Immunology (2019) 16:777 – 77.</w:t>
      </w:r>
    </w:p>
    <w:p w:rsidR="00E414ED" w:rsidRPr="00197FDF" w:rsidRDefault="00E414ED" w:rsidP="00E414ED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 w:rsidRPr="00197FDF">
        <w:t>Walankiewicz</w:t>
      </w:r>
      <w:proofErr w:type="spellEnd"/>
      <w:r w:rsidRPr="00197FDF">
        <w:t xml:space="preserve"> M., </w:t>
      </w:r>
      <w:proofErr w:type="spellStart"/>
      <w:r w:rsidRPr="00197FDF">
        <w:t>Grywalska</w:t>
      </w:r>
      <w:proofErr w:type="spellEnd"/>
      <w:r w:rsidRPr="00197FDF">
        <w:t xml:space="preserve"> E., Polak G. et al. </w:t>
      </w:r>
      <w:r w:rsidRPr="00197FDF">
        <w:rPr>
          <w:lang w:val="en-US"/>
        </w:rPr>
        <w:t xml:space="preserve">The Increase of Circulating PD-1- and PD-L1-Expressing Lymphocytes in Endometriosis: Correlation with Clinical and Laboratory Parameters. Mediators of Inflammation 2018. </w:t>
      </w:r>
      <w:hyperlink r:id="rId9" w:history="1">
        <w:r w:rsidRPr="00197FDF">
          <w:rPr>
            <w:rStyle w:val="Hyperlink"/>
            <w:lang w:val="en-US"/>
          </w:rPr>
          <w:t>https://doi.org/10.1155/2018/7041342</w:t>
        </w:r>
      </w:hyperlink>
    </w:p>
    <w:p w:rsidR="00E414ED" w:rsidRPr="00197FDF" w:rsidRDefault="00E414ED" w:rsidP="00E414ED">
      <w:pPr>
        <w:pStyle w:val="ListParagraph"/>
        <w:numPr>
          <w:ilvl w:val="0"/>
          <w:numId w:val="1"/>
        </w:numPr>
        <w:rPr>
          <w:lang w:val="en-US"/>
        </w:rPr>
      </w:pPr>
      <w:hyperlink r:id="rId10" w:history="1">
        <w:proofErr w:type="spellStart"/>
        <w:r w:rsidRPr="00197FDF">
          <w:rPr>
            <w:lang w:val="en-US"/>
          </w:rPr>
          <w:t>Stephansson</w:t>
        </w:r>
        <w:proofErr w:type="spellEnd"/>
      </w:hyperlink>
      <w:r w:rsidRPr="00197FDF">
        <w:rPr>
          <w:lang w:val="en-US"/>
        </w:rPr>
        <w:t> O., </w:t>
      </w:r>
      <w:hyperlink r:id="rId11" w:history="1">
        <w:r w:rsidRPr="00197FDF">
          <w:rPr>
            <w:lang w:val="en-US"/>
          </w:rPr>
          <w:t>Falconer</w:t>
        </w:r>
      </w:hyperlink>
      <w:r w:rsidRPr="00197FDF">
        <w:rPr>
          <w:lang w:val="en-US"/>
        </w:rPr>
        <w:t xml:space="preserve"> H., </w:t>
      </w:r>
      <w:hyperlink r:id="rId12" w:history="1">
        <w:r w:rsidRPr="00197FDF">
          <w:rPr>
            <w:lang w:val="en-US"/>
          </w:rPr>
          <w:t xml:space="preserve"> </w:t>
        </w:r>
        <w:proofErr w:type="spellStart"/>
        <w:r w:rsidRPr="00197FDF">
          <w:rPr>
            <w:lang w:val="en-US"/>
          </w:rPr>
          <w:t>Ludvigsson</w:t>
        </w:r>
        <w:proofErr w:type="spellEnd"/>
      </w:hyperlink>
      <w:r w:rsidRPr="00197FDF">
        <w:rPr>
          <w:lang w:val="en-US"/>
        </w:rPr>
        <w:t xml:space="preserve"> J.F. Risk of endometriosis in 11,000 women with celiac disease. Hum </w:t>
      </w:r>
      <w:proofErr w:type="spellStart"/>
      <w:r w:rsidRPr="00197FDF">
        <w:rPr>
          <w:lang w:val="en-US"/>
        </w:rPr>
        <w:t>Reprod</w:t>
      </w:r>
      <w:proofErr w:type="spellEnd"/>
      <w:r w:rsidRPr="00197FDF">
        <w:rPr>
          <w:lang w:val="en-US"/>
        </w:rPr>
        <w:t>. 2011; 26(10):2896-901.</w:t>
      </w:r>
    </w:p>
    <w:p w:rsidR="00E414ED" w:rsidRPr="00197FDF" w:rsidRDefault="00E414ED" w:rsidP="00E414ED">
      <w:pPr>
        <w:pStyle w:val="ListParagraph"/>
        <w:numPr>
          <w:ilvl w:val="0"/>
          <w:numId w:val="1"/>
        </w:numPr>
        <w:rPr>
          <w:lang w:val="en-US"/>
        </w:rPr>
      </w:pPr>
      <w:r w:rsidRPr="00197FDF">
        <w:rPr>
          <w:lang w:val="en-US"/>
        </w:rPr>
        <w:t xml:space="preserve">Gordon, S.M. Interleukin-15 in Outcomes of Pregnancy. </w:t>
      </w:r>
      <w:r w:rsidRPr="00197FDF">
        <w:t xml:space="preserve">Int. J. Mol. </w:t>
      </w:r>
      <w:proofErr w:type="spellStart"/>
      <w:r w:rsidRPr="00197FDF">
        <w:t>Sci</w:t>
      </w:r>
      <w:proofErr w:type="spellEnd"/>
      <w:r w:rsidRPr="00197FDF">
        <w:t xml:space="preserve">. 2021; 22: 11094. </w:t>
      </w:r>
      <w:proofErr w:type="gramStart"/>
      <w:r w:rsidRPr="00197FDF">
        <w:t>https://doi.org/10.3390/</w:t>
      </w:r>
      <w:proofErr w:type="gramEnd"/>
      <w:r w:rsidRPr="00197FDF">
        <w:t xml:space="preserve"> ijms222011094</w:t>
      </w:r>
    </w:p>
    <w:p w:rsidR="00E414ED" w:rsidRPr="00197FDF" w:rsidRDefault="00E414ED" w:rsidP="00E414ED">
      <w:pPr>
        <w:pStyle w:val="ListParagraph"/>
        <w:numPr>
          <w:ilvl w:val="0"/>
          <w:numId w:val="1"/>
        </w:numPr>
        <w:spacing w:line="256" w:lineRule="auto"/>
        <w:rPr>
          <w:lang w:val="en-US"/>
        </w:rPr>
      </w:pPr>
      <w:r w:rsidRPr="00197FDF">
        <w:rPr>
          <w:lang w:val="en-US"/>
        </w:rPr>
        <w:lastRenderedPageBreak/>
        <w:t xml:space="preserve">Murata, H.; Tanaka, S.; Okada, H. Immune Tolerance of the Human Decidua. </w:t>
      </w:r>
      <w:r w:rsidRPr="00197FDF">
        <w:t xml:space="preserve">J. </w:t>
      </w:r>
      <w:proofErr w:type="spellStart"/>
      <w:r w:rsidRPr="00197FDF">
        <w:t>Clin</w:t>
      </w:r>
      <w:proofErr w:type="spellEnd"/>
      <w:r w:rsidRPr="00197FDF">
        <w:t xml:space="preserve">. </w:t>
      </w:r>
      <w:proofErr w:type="spellStart"/>
      <w:r w:rsidRPr="00197FDF">
        <w:t>Med</w:t>
      </w:r>
      <w:proofErr w:type="spellEnd"/>
      <w:r w:rsidRPr="00197FDF">
        <w:t xml:space="preserve">. 2021; 10: 351. </w:t>
      </w:r>
      <w:proofErr w:type="gramStart"/>
      <w:r w:rsidRPr="00197FDF">
        <w:t>https://doi.org/10.3390/</w:t>
      </w:r>
      <w:proofErr w:type="gramEnd"/>
      <w:r w:rsidRPr="00197FDF">
        <w:t xml:space="preserve"> jcm10020351</w:t>
      </w:r>
    </w:p>
    <w:p w:rsidR="00E414ED" w:rsidRPr="00197FDF" w:rsidRDefault="00E414ED" w:rsidP="00E414ED">
      <w:pPr>
        <w:pStyle w:val="ListParagraph"/>
        <w:numPr>
          <w:ilvl w:val="0"/>
          <w:numId w:val="1"/>
        </w:numPr>
        <w:spacing w:line="256" w:lineRule="auto"/>
        <w:rPr>
          <w:lang w:val="en-US"/>
        </w:rPr>
      </w:pPr>
      <w:proofErr w:type="spellStart"/>
      <w:r w:rsidRPr="00197FDF">
        <w:rPr>
          <w:lang w:val="fr-BE"/>
        </w:rPr>
        <w:t>Bellelis</w:t>
      </w:r>
      <w:proofErr w:type="spellEnd"/>
      <w:r w:rsidRPr="00197FDF">
        <w:rPr>
          <w:lang w:val="fr-BE"/>
        </w:rPr>
        <w:t xml:space="preserve"> P. </w:t>
      </w:r>
      <w:proofErr w:type="spellStart"/>
      <w:r w:rsidRPr="00197FDF">
        <w:rPr>
          <w:lang w:val="fr-BE"/>
        </w:rPr>
        <w:t>Barbeiro</w:t>
      </w:r>
      <w:proofErr w:type="spellEnd"/>
      <w:r w:rsidRPr="00197FDF">
        <w:rPr>
          <w:lang w:val="fr-BE"/>
        </w:rPr>
        <w:t xml:space="preserve"> D.F., </w:t>
      </w:r>
      <w:proofErr w:type="spellStart"/>
      <w:r w:rsidRPr="00197FDF">
        <w:rPr>
          <w:lang w:val="fr-BE"/>
        </w:rPr>
        <w:t>Gueuvoghlanian</w:t>
      </w:r>
      <w:proofErr w:type="spellEnd"/>
      <w:r w:rsidRPr="00197FDF">
        <w:rPr>
          <w:lang w:val="fr-BE"/>
        </w:rPr>
        <w:t xml:space="preserve">-Silva B.Y., et al. </w:t>
      </w:r>
      <w:r w:rsidRPr="00197FDF">
        <w:rPr>
          <w:lang w:val="en-US"/>
        </w:rPr>
        <w:t xml:space="preserve">Interleukin-15 and interleukin- are the major cytokines to maintain endometriosis. </w:t>
      </w:r>
      <w:proofErr w:type="spellStart"/>
      <w:r w:rsidRPr="00197FDF">
        <w:rPr>
          <w:lang w:val="en-US"/>
        </w:rPr>
        <w:t>Gynecol</w:t>
      </w:r>
      <w:proofErr w:type="spellEnd"/>
      <w:r w:rsidRPr="00197FDF">
        <w:rPr>
          <w:lang w:val="en-US"/>
        </w:rPr>
        <w:t xml:space="preserve"> </w:t>
      </w:r>
      <w:proofErr w:type="spellStart"/>
      <w:r w:rsidRPr="00197FDF">
        <w:rPr>
          <w:lang w:val="en-US"/>
        </w:rPr>
        <w:t>Obstet</w:t>
      </w:r>
      <w:proofErr w:type="spellEnd"/>
      <w:r w:rsidRPr="00197FDF">
        <w:rPr>
          <w:lang w:val="en-US"/>
        </w:rPr>
        <w:t xml:space="preserve"> Invest. 2019; 84 (5): 435-444.</w:t>
      </w:r>
    </w:p>
    <w:p w:rsidR="00E414ED" w:rsidRPr="00197FDF" w:rsidRDefault="00E414ED" w:rsidP="00E414ED">
      <w:pPr>
        <w:pStyle w:val="ListParagraph"/>
        <w:numPr>
          <w:ilvl w:val="0"/>
          <w:numId w:val="1"/>
        </w:numPr>
        <w:spacing w:line="256" w:lineRule="auto"/>
        <w:rPr>
          <w:lang w:val="en-US"/>
        </w:rPr>
      </w:pPr>
      <w:proofErr w:type="spellStart"/>
      <w:r w:rsidRPr="00197FDF">
        <w:rPr>
          <w:lang w:val="en-US"/>
        </w:rPr>
        <w:t>Galván</w:t>
      </w:r>
      <w:proofErr w:type="spellEnd"/>
      <w:r w:rsidRPr="00197FDF">
        <w:rPr>
          <w:lang w:val="en-US"/>
        </w:rPr>
        <w:t xml:space="preserve"> Morales, M.A.; Montero-Vargas, J.M.; </w:t>
      </w:r>
      <w:proofErr w:type="spellStart"/>
      <w:r w:rsidRPr="00197FDF">
        <w:rPr>
          <w:lang w:val="en-US"/>
        </w:rPr>
        <w:t>Vizuet</w:t>
      </w:r>
      <w:proofErr w:type="spellEnd"/>
      <w:r w:rsidRPr="00197FDF">
        <w:rPr>
          <w:lang w:val="en-US"/>
        </w:rPr>
        <w:t xml:space="preserve">-de-Rueda, J.C.; Teran, L.M. New Insights into the Role of PD-1 and Its Ligands in Allergic Disease. </w:t>
      </w:r>
      <w:r w:rsidRPr="00197FDF">
        <w:t xml:space="preserve">Int. J. Mol. </w:t>
      </w:r>
      <w:proofErr w:type="spellStart"/>
      <w:r w:rsidRPr="00197FDF">
        <w:t>Sci</w:t>
      </w:r>
      <w:proofErr w:type="spellEnd"/>
      <w:r w:rsidRPr="00197FDF">
        <w:t xml:space="preserve">. 2021; 22: 11898. </w:t>
      </w:r>
      <w:proofErr w:type="gramStart"/>
      <w:r w:rsidRPr="00197FDF">
        <w:t>https://doi.org/10.3390/</w:t>
      </w:r>
      <w:proofErr w:type="gramEnd"/>
      <w:r w:rsidRPr="00197FDF">
        <w:t xml:space="preserve"> ijms222111898</w:t>
      </w:r>
    </w:p>
    <w:p w:rsidR="00E414ED" w:rsidRPr="00197FDF" w:rsidRDefault="00E414ED" w:rsidP="00E414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lang w:val="en-US"/>
        </w:rPr>
      </w:pPr>
      <w:proofErr w:type="spellStart"/>
      <w:r w:rsidRPr="00197FDF">
        <w:rPr>
          <w:lang w:val="fr-BE"/>
        </w:rPr>
        <w:t>Bergamaschi</w:t>
      </w:r>
      <w:proofErr w:type="spellEnd"/>
      <w:r w:rsidRPr="00197FDF">
        <w:rPr>
          <w:lang w:val="fr-BE"/>
        </w:rPr>
        <w:t xml:space="preserve">, C., </w:t>
      </w:r>
      <w:proofErr w:type="spellStart"/>
      <w:r w:rsidRPr="00197FDF">
        <w:rPr>
          <w:lang w:val="fr-BE"/>
        </w:rPr>
        <w:t>Terpos</w:t>
      </w:r>
      <w:proofErr w:type="spellEnd"/>
      <w:r w:rsidRPr="00197FDF">
        <w:rPr>
          <w:lang w:val="fr-BE"/>
        </w:rPr>
        <w:t xml:space="preserve">, E., </w:t>
      </w:r>
      <w:proofErr w:type="spellStart"/>
      <w:r w:rsidRPr="00197FDF">
        <w:rPr>
          <w:lang w:val="fr-BE"/>
        </w:rPr>
        <w:t>Rosati</w:t>
      </w:r>
      <w:proofErr w:type="spellEnd"/>
      <w:r w:rsidRPr="00197FDF">
        <w:rPr>
          <w:lang w:val="fr-BE"/>
        </w:rPr>
        <w:t xml:space="preserve">, M., et al. </w:t>
      </w:r>
      <w:r w:rsidRPr="00197FDF">
        <w:rPr>
          <w:lang w:val="en-US"/>
        </w:rPr>
        <w:t>Systemic IL-15, IFN-gamma, and IP-10/CXCL10 signature associated with effective immune response to SARS-CoV-2 in BNT162b2 mRNA vaccine recipients. Cell Rep. 2021; 36 (6): 109504</w:t>
      </w:r>
    </w:p>
    <w:p w:rsidR="00E414ED" w:rsidRPr="00197FDF" w:rsidRDefault="00E414ED" w:rsidP="00E414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lang w:val="en-US"/>
        </w:rPr>
      </w:pPr>
      <w:hyperlink r:id="rId13" w:history="1">
        <w:r w:rsidRPr="00197FDF">
          <w:rPr>
            <w:rStyle w:val="Hyperlink"/>
            <w:lang w:val="en-US"/>
          </w:rPr>
          <w:t>https://www.mediquality.net/be-nl/topic/article/24605044/reflecties-van-een-dermatoloog-over-de-bijwerkingen-van-covid-19-vaccins-op-middel-lange-termijn</w:t>
        </w:r>
      </w:hyperlink>
    </w:p>
    <w:p w:rsidR="00E414ED" w:rsidRPr="00197FDF" w:rsidRDefault="00E414ED" w:rsidP="00E414ED">
      <w:pPr>
        <w:pStyle w:val="ListParagraph"/>
        <w:numPr>
          <w:ilvl w:val="0"/>
          <w:numId w:val="1"/>
        </w:numPr>
        <w:spacing w:line="256" w:lineRule="auto"/>
        <w:rPr>
          <w:lang w:val="en-US"/>
        </w:rPr>
      </w:pPr>
      <w:proofErr w:type="spellStart"/>
      <w:r w:rsidRPr="00197FDF">
        <w:t>Kårhus</w:t>
      </w:r>
      <w:proofErr w:type="spellEnd"/>
      <w:r w:rsidRPr="00197FDF">
        <w:t xml:space="preserve"> L.L., Petersen J., </w:t>
      </w:r>
      <w:proofErr w:type="spellStart"/>
      <w:r w:rsidRPr="00197FDF">
        <w:t>Biering</w:t>
      </w:r>
      <w:proofErr w:type="spellEnd"/>
      <w:r w:rsidRPr="00197FDF">
        <w:t xml:space="preserve"> </w:t>
      </w:r>
      <w:proofErr w:type="spellStart"/>
      <w:r w:rsidRPr="00197FDF">
        <w:t>Leth</w:t>
      </w:r>
      <w:r w:rsidRPr="00197FDF">
        <w:noBreakHyphen/>
        <w:t>Møller</w:t>
      </w:r>
      <w:proofErr w:type="spellEnd"/>
      <w:r w:rsidRPr="00197FDF">
        <w:t xml:space="preserve"> K., et al. </w:t>
      </w:r>
      <w:r w:rsidRPr="00197FDF">
        <w:rPr>
          <w:lang w:val="en-US"/>
        </w:rPr>
        <w:t xml:space="preserve">Symptoms and biomarkers associated with undiagnosed celiac seropositivity. BMC Gastroenterol. </w:t>
      </w:r>
      <w:r w:rsidRPr="00197FDF">
        <w:t>2021; 21:90.</w:t>
      </w:r>
    </w:p>
    <w:p w:rsidR="00E414ED" w:rsidRPr="00197FDF" w:rsidRDefault="00E414ED" w:rsidP="00E414ED">
      <w:pPr>
        <w:pStyle w:val="ListParagraph"/>
        <w:numPr>
          <w:ilvl w:val="0"/>
          <w:numId w:val="1"/>
        </w:numPr>
        <w:spacing w:line="256" w:lineRule="auto"/>
        <w:rPr>
          <w:rStyle w:val="Hyperlink"/>
          <w:color w:val="auto"/>
          <w:u w:val="none"/>
          <w:lang w:val="en-US"/>
        </w:rPr>
      </w:pPr>
      <w:hyperlink r:id="rId14" w:history="1">
        <w:r w:rsidRPr="00197FDF">
          <w:rPr>
            <w:rStyle w:val="Hyperlink"/>
            <w:lang w:val="en-US"/>
          </w:rPr>
          <w:t>https://www.ema.europa.eu/en/documents/assessment-report/spikevax-previously-covid-19-vaccine-moderna-epar-public-assessment-report_en.pdf</w:t>
        </w:r>
      </w:hyperlink>
    </w:p>
    <w:p w:rsidR="00E414ED" w:rsidRPr="00197FDF" w:rsidRDefault="00E414ED" w:rsidP="00E414ED">
      <w:pPr>
        <w:pStyle w:val="ListParagraph"/>
        <w:numPr>
          <w:ilvl w:val="0"/>
          <w:numId w:val="1"/>
        </w:numPr>
        <w:rPr>
          <w:lang w:val="en-US"/>
        </w:rPr>
      </w:pPr>
      <w:hyperlink r:id="rId15" w:history="1">
        <w:r w:rsidRPr="00197FDF">
          <w:rPr>
            <w:rStyle w:val="Hyperlink"/>
            <w:lang w:val="en-US"/>
          </w:rPr>
          <w:t>https://www.ema.europa.eu/en/news/meeting-highlights-pharmacovigilance-risk-assessment-committee-prac-7-10-february-2022</w:t>
        </w:r>
      </w:hyperlink>
      <w:r w:rsidRPr="00197FDF">
        <w:rPr>
          <w:lang w:val="en-US"/>
        </w:rPr>
        <w:t xml:space="preserve"> - </w:t>
      </w:r>
    </w:p>
    <w:p w:rsidR="00E414ED" w:rsidRPr="00197FDF" w:rsidRDefault="00E414ED" w:rsidP="00E414ED">
      <w:pPr>
        <w:rPr>
          <w:lang w:val="en-US"/>
        </w:rPr>
      </w:pPr>
    </w:p>
    <w:p w:rsidR="00B14C98" w:rsidRPr="00E414ED" w:rsidRDefault="00B14C98">
      <w:pPr>
        <w:rPr>
          <w:lang w:val="en-US"/>
        </w:rPr>
      </w:pPr>
    </w:p>
    <w:sectPr w:rsidR="00B14C98" w:rsidRPr="00E414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224403"/>
    <w:multiLevelType w:val="hybridMultilevel"/>
    <w:tmpl w:val="D13C714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4ED"/>
    <w:rsid w:val="00B14C98"/>
    <w:rsid w:val="00E4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4116D"/>
  <w15:chartTrackingRefBased/>
  <w15:docId w15:val="{57BCA121-7EC2-455C-A291-9EEB90E7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14ED"/>
    <w:rPr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14E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41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todate.com/contents/epidemiology-pathogenesis-and-clinical-manifestations-of-celiac-disease-in-adults?search=coeliakie&amp;source=search_result&amp;selectedTitle=2~150&amp;usage_type=default&amp;display_rank=2" TargetMode="External"/><Relationship Id="rId13" Type="http://schemas.openxmlformats.org/officeDocument/2006/relationships/hyperlink" Target="https://www.mediquality.net/be-nl/topic/article/24605044/reflecties-van-een-dermatoloog-over-de-bijwerkingen-van-covid-19-vaccins-op-middel-lange-termij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ma.europa.eu/en/human-regulatory/overview/public-health-threats/coronavirus-disease-covid-19/treatments-vaccines/vaccines-covid-19/safety-covid-19-vaccines" TargetMode="External"/><Relationship Id="rId12" Type="http://schemas.openxmlformats.org/officeDocument/2006/relationships/hyperlink" Target="https://pubmed.ncbi.nlm.nih.gov/?sort=date&amp;term=Ludvigsson+JF&amp;cauthor_id=2184090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x.doi.org/10.1136/bmj.n2211" TargetMode="External"/><Relationship Id="rId11" Type="http://schemas.openxmlformats.org/officeDocument/2006/relationships/hyperlink" Target="https://pubmed.ncbi.nlm.nih.gov/?sort=date&amp;term=Falconer+H&amp;cauthor_id=21840904" TargetMode="External"/><Relationship Id="rId5" Type="http://schemas.openxmlformats.org/officeDocument/2006/relationships/hyperlink" Target="https://www.vrt.be/vrtnws/nl/2021/11/03/tijdelijke-en-onschadelijke-menstruatieverandering-na-coronavacc/" TargetMode="External"/><Relationship Id="rId15" Type="http://schemas.openxmlformats.org/officeDocument/2006/relationships/hyperlink" Target="https://www.ema.europa.eu/en/news/meeting-highlights-pharmacovigilance-risk-assessment-committee-prac-7-10-february-2022" TargetMode="External"/><Relationship Id="rId10" Type="http://schemas.openxmlformats.org/officeDocument/2006/relationships/hyperlink" Target="https://pubmed.ncbi.nlm.nih.gov/?sort=date&amp;term=Stephansson+O&amp;cauthor_id=218409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155/2018/7041342" TargetMode="External"/><Relationship Id="rId14" Type="http://schemas.openxmlformats.org/officeDocument/2006/relationships/hyperlink" Target="https://www.ema.europa.eu/en/documents/assessment-report/spikevax-previously-covid-19-vaccine-moderna-epar-public-assessment-report_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940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Verschelde, Sabine</dc:creator>
  <cp:keywords/>
  <dc:description/>
  <cp:lastModifiedBy>Verschelde, Sabine</cp:lastModifiedBy>
  <cp:revision>1</cp:revision>
  <dcterms:created xsi:type="dcterms:W3CDTF">2022-02-18T09:35:00Z</dcterms:created>
  <dcterms:modified xsi:type="dcterms:W3CDTF">2022-02-18T09:35:00Z</dcterms:modified>
</cp:coreProperties>
</file>