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18C" w:rsidRDefault="00F143EE" w:rsidP="00F143EE">
      <w:pPr>
        <w:pBdr>
          <w:top w:val="single" w:sz="4" w:space="1" w:color="auto"/>
          <w:left w:val="single" w:sz="4" w:space="4" w:color="auto"/>
          <w:bottom w:val="single" w:sz="4" w:space="1" w:color="auto"/>
          <w:right w:val="single" w:sz="4" w:space="4" w:color="auto"/>
        </w:pBdr>
        <w:spacing w:after="0"/>
        <w:rPr>
          <w:b/>
          <w:sz w:val="44"/>
          <w:szCs w:val="44"/>
        </w:rPr>
      </w:pPr>
      <w:r>
        <w:rPr>
          <w:b/>
          <w:sz w:val="44"/>
          <w:szCs w:val="44"/>
        </w:rPr>
        <w:t xml:space="preserve">            </w:t>
      </w:r>
      <w:r w:rsidR="002722A2">
        <w:rPr>
          <w:b/>
          <w:sz w:val="44"/>
          <w:szCs w:val="44"/>
        </w:rPr>
        <w:t>A</w:t>
      </w:r>
      <w:r w:rsidR="004B6311" w:rsidRPr="004B6311">
        <w:rPr>
          <w:b/>
          <w:sz w:val="44"/>
          <w:szCs w:val="44"/>
        </w:rPr>
        <w:t>pproche</w:t>
      </w:r>
      <w:r w:rsidR="004B6311">
        <w:rPr>
          <w:b/>
          <w:sz w:val="44"/>
          <w:szCs w:val="44"/>
        </w:rPr>
        <w:t xml:space="preserve"> du mode d’action possible</w:t>
      </w:r>
    </w:p>
    <w:p w:rsidR="004B6311" w:rsidRDefault="0008287C" w:rsidP="004B6311">
      <w:pPr>
        <w:pBdr>
          <w:top w:val="single" w:sz="4" w:space="1" w:color="auto"/>
          <w:left w:val="single" w:sz="4" w:space="4" w:color="auto"/>
          <w:bottom w:val="single" w:sz="4" w:space="1" w:color="auto"/>
          <w:right w:val="single" w:sz="4" w:space="4" w:color="auto"/>
        </w:pBdr>
        <w:spacing w:after="0"/>
        <w:jc w:val="center"/>
        <w:rPr>
          <w:b/>
          <w:sz w:val="44"/>
          <w:szCs w:val="44"/>
        </w:rPr>
      </w:pPr>
      <w:proofErr w:type="gramStart"/>
      <w:r>
        <w:rPr>
          <w:b/>
          <w:sz w:val="44"/>
          <w:szCs w:val="44"/>
        </w:rPr>
        <w:t>des</w:t>
      </w:r>
      <w:proofErr w:type="gramEnd"/>
      <w:r>
        <w:rPr>
          <w:b/>
          <w:sz w:val="44"/>
          <w:szCs w:val="44"/>
        </w:rPr>
        <w:t xml:space="preserve"> principaux</w:t>
      </w:r>
      <w:r w:rsidR="004B6311">
        <w:rPr>
          <w:b/>
          <w:sz w:val="44"/>
          <w:szCs w:val="44"/>
        </w:rPr>
        <w:t xml:space="preserve"> traitements essayés</w:t>
      </w:r>
    </w:p>
    <w:p w:rsidR="004B6311" w:rsidRDefault="004B6311" w:rsidP="004B6311">
      <w:pPr>
        <w:pBdr>
          <w:top w:val="single" w:sz="4" w:space="1" w:color="auto"/>
          <w:left w:val="single" w:sz="4" w:space="4" w:color="auto"/>
          <w:bottom w:val="single" w:sz="4" w:space="1" w:color="auto"/>
          <w:right w:val="single" w:sz="4" w:space="4" w:color="auto"/>
        </w:pBdr>
        <w:spacing w:after="0"/>
        <w:jc w:val="center"/>
        <w:rPr>
          <w:b/>
          <w:sz w:val="44"/>
          <w:szCs w:val="44"/>
        </w:rPr>
      </w:pPr>
      <w:proofErr w:type="gramStart"/>
      <w:r>
        <w:rPr>
          <w:b/>
          <w:sz w:val="44"/>
          <w:szCs w:val="44"/>
        </w:rPr>
        <w:t>contre</w:t>
      </w:r>
      <w:proofErr w:type="gramEnd"/>
      <w:r>
        <w:rPr>
          <w:b/>
          <w:sz w:val="44"/>
          <w:szCs w:val="44"/>
        </w:rPr>
        <w:t xml:space="preserve"> le COVID-19</w:t>
      </w:r>
    </w:p>
    <w:p w:rsidR="004B6311" w:rsidRDefault="004B6311" w:rsidP="004B6311">
      <w:pPr>
        <w:spacing w:after="0"/>
        <w:jc w:val="center"/>
        <w:rPr>
          <w:b/>
          <w:sz w:val="28"/>
          <w:szCs w:val="28"/>
        </w:rPr>
      </w:pPr>
    </w:p>
    <w:p w:rsidR="004B6311" w:rsidRDefault="004B6311" w:rsidP="004B6311">
      <w:pPr>
        <w:spacing w:after="0"/>
        <w:rPr>
          <w:b/>
          <w:sz w:val="28"/>
          <w:szCs w:val="28"/>
        </w:rPr>
      </w:pPr>
      <w:r>
        <w:rPr>
          <w:b/>
          <w:sz w:val="28"/>
          <w:szCs w:val="28"/>
        </w:rPr>
        <w:t xml:space="preserve">                                                                                                       Dominique Bayot</w:t>
      </w:r>
    </w:p>
    <w:p w:rsidR="006039C6" w:rsidRDefault="006039C6" w:rsidP="004B6311">
      <w:pPr>
        <w:spacing w:after="0"/>
        <w:rPr>
          <w:b/>
          <w:sz w:val="28"/>
          <w:szCs w:val="28"/>
        </w:rPr>
      </w:pPr>
    </w:p>
    <w:p w:rsidR="006039C6" w:rsidRDefault="006039C6" w:rsidP="004B6311">
      <w:pPr>
        <w:spacing w:after="0"/>
        <w:rPr>
          <w:sz w:val="24"/>
          <w:szCs w:val="24"/>
        </w:rPr>
      </w:pPr>
      <w:r>
        <w:rPr>
          <w:sz w:val="24"/>
          <w:szCs w:val="24"/>
        </w:rPr>
        <w:t>Depuis plusieurs mois le monde entier subit l’épidé</w:t>
      </w:r>
      <w:r w:rsidR="00C85181">
        <w:rPr>
          <w:sz w:val="24"/>
          <w:szCs w:val="24"/>
        </w:rPr>
        <w:t>mie d</w:t>
      </w:r>
      <w:r w:rsidR="006817F5">
        <w:rPr>
          <w:sz w:val="24"/>
          <w:szCs w:val="24"/>
        </w:rPr>
        <w:t>u coronavirus, le COVID-19</w:t>
      </w:r>
      <w:r>
        <w:rPr>
          <w:sz w:val="24"/>
          <w:szCs w:val="24"/>
        </w:rPr>
        <w:t xml:space="preserve"> et les publications sortent à un rythme imp</w:t>
      </w:r>
      <w:r w:rsidR="00C85181">
        <w:rPr>
          <w:sz w:val="24"/>
          <w:szCs w:val="24"/>
        </w:rPr>
        <w:t>ortant, décrivant les symptômes</w:t>
      </w:r>
      <w:r w:rsidR="006817F5">
        <w:rPr>
          <w:sz w:val="24"/>
          <w:szCs w:val="24"/>
        </w:rPr>
        <w:t xml:space="preserve"> et évoquant des traitements. M</w:t>
      </w:r>
      <w:r>
        <w:rPr>
          <w:sz w:val="24"/>
          <w:szCs w:val="24"/>
        </w:rPr>
        <w:t>ais très peu s’attachent au mode d’action de ces traitements qui pourraient justifier les essais qui sont entrepris. Cette brève étude va tenter d’approcher à la lumière de ce que l’on sait de la physiopathologie de l’affection et du pouvoir des drogues préconisées, le mode d’action qui pourrait justifier théoriquement leur indication.</w:t>
      </w:r>
    </w:p>
    <w:p w:rsidR="006817F5" w:rsidRDefault="006817F5" w:rsidP="004B6311">
      <w:pPr>
        <w:spacing w:after="0"/>
        <w:rPr>
          <w:sz w:val="24"/>
          <w:szCs w:val="24"/>
        </w:rPr>
      </w:pPr>
    </w:p>
    <w:p w:rsidR="006817F5" w:rsidRPr="00D34787" w:rsidRDefault="006817F5" w:rsidP="006817F5">
      <w:pPr>
        <w:spacing w:after="0"/>
        <w:jc w:val="center"/>
        <w:rPr>
          <w:b/>
          <w:sz w:val="28"/>
          <w:szCs w:val="28"/>
        </w:rPr>
      </w:pPr>
      <w:r w:rsidRPr="00D34787">
        <w:rPr>
          <w:b/>
          <w:sz w:val="28"/>
          <w:szCs w:val="28"/>
        </w:rPr>
        <w:t>Physiopathologie de l’infection au COVID-19</w:t>
      </w:r>
    </w:p>
    <w:p w:rsidR="006817F5" w:rsidRDefault="006817F5" w:rsidP="006817F5">
      <w:pPr>
        <w:spacing w:after="0"/>
        <w:jc w:val="center"/>
        <w:rPr>
          <w:b/>
          <w:sz w:val="24"/>
          <w:szCs w:val="24"/>
        </w:rPr>
      </w:pPr>
    </w:p>
    <w:p w:rsidR="00C85181" w:rsidRDefault="006817F5" w:rsidP="006817F5">
      <w:pPr>
        <w:spacing w:after="0"/>
        <w:rPr>
          <w:sz w:val="24"/>
          <w:szCs w:val="24"/>
        </w:rPr>
      </w:pPr>
      <w:r w:rsidRPr="006817F5">
        <w:rPr>
          <w:sz w:val="24"/>
          <w:szCs w:val="24"/>
        </w:rPr>
        <w:t xml:space="preserve">Le point d’attaque </w:t>
      </w:r>
      <w:r>
        <w:rPr>
          <w:sz w:val="24"/>
          <w:szCs w:val="24"/>
        </w:rPr>
        <w:t>du virus se situe au niveau de l’enzyme de</w:t>
      </w:r>
      <w:r w:rsidR="00C85181">
        <w:rPr>
          <w:sz w:val="24"/>
          <w:szCs w:val="24"/>
        </w:rPr>
        <w:t xml:space="preserve"> conversion de l’angiotensine 2</w:t>
      </w:r>
    </w:p>
    <w:p w:rsidR="006817F5" w:rsidRDefault="006817F5" w:rsidP="006817F5">
      <w:pPr>
        <w:spacing w:after="0"/>
        <w:rPr>
          <w:sz w:val="24"/>
          <w:szCs w:val="24"/>
        </w:rPr>
      </w:pPr>
      <w:proofErr w:type="gramStart"/>
      <w:r>
        <w:rPr>
          <w:sz w:val="24"/>
          <w:szCs w:val="24"/>
        </w:rPr>
        <w:t>ou</w:t>
      </w:r>
      <w:proofErr w:type="gramEnd"/>
      <w:r>
        <w:rPr>
          <w:sz w:val="24"/>
          <w:szCs w:val="24"/>
        </w:rPr>
        <w:t xml:space="preserve"> ACE</w:t>
      </w:r>
      <w:r w:rsidR="002C5DB1">
        <w:rPr>
          <w:sz w:val="24"/>
          <w:szCs w:val="24"/>
        </w:rPr>
        <w:t xml:space="preserve"> </w:t>
      </w:r>
      <w:r>
        <w:rPr>
          <w:sz w:val="24"/>
          <w:szCs w:val="24"/>
        </w:rPr>
        <w:t>II. Ce système de régulation de la tension artérielle es</w:t>
      </w:r>
      <w:r w:rsidR="002C5DB1">
        <w:rPr>
          <w:sz w:val="24"/>
          <w:szCs w:val="24"/>
        </w:rPr>
        <w:t>t un système sensible (figure 1).</w:t>
      </w:r>
    </w:p>
    <w:p w:rsidR="006817F5" w:rsidRDefault="00B12621" w:rsidP="006817F5">
      <w:pPr>
        <w:spacing w:after="0"/>
        <w:jc w:val="center"/>
        <w:rPr>
          <w:sz w:val="24"/>
          <w:szCs w:val="24"/>
        </w:rPr>
      </w:pPr>
      <w:r>
        <w:rPr>
          <w:noProof/>
          <w:sz w:val="24"/>
          <w:szCs w:val="24"/>
          <w:lang w:eastAsia="fr-BE"/>
        </w:rPr>
        <mc:AlternateContent>
          <mc:Choice Requires="wps">
            <w:drawing>
              <wp:anchor distT="0" distB="0" distL="114300" distR="114300" simplePos="0" relativeHeight="251659264" behindDoc="0" locked="0" layoutInCell="1" allowOverlap="1">
                <wp:simplePos x="0" y="0"/>
                <wp:positionH relativeFrom="column">
                  <wp:posOffset>1538605</wp:posOffset>
                </wp:positionH>
                <wp:positionV relativeFrom="paragraph">
                  <wp:posOffset>1577340</wp:posOffset>
                </wp:positionV>
                <wp:extent cx="9525" cy="933450"/>
                <wp:effectExtent l="76200" t="0" r="66675" b="57150"/>
                <wp:wrapNone/>
                <wp:docPr id="7" name="Connecteur droit avec flèche 7"/>
                <wp:cNvGraphicFramePr/>
                <a:graphic xmlns:a="http://schemas.openxmlformats.org/drawingml/2006/main">
                  <a:graphicData uri="http://schemas.microsoft.com/office/word/2010/wordprocessingShape">
                    <wps:wsp>
                      <wps:cNvCnPr/>
                      <wps:spPr>
                        <a:xfrm>
                          <a:off x="0" y="0"/>
                          <a:ext cx="9525" cy="933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7" o:spid="_x0000_s1026" type="#_x0000_t32" style="position:absolute;margin-left:121.15pt;margin-top:124.2pt;width:.75pt;height:7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" strokecolor="#4579b8 [3044]">
                <v:stroke endarrow="open"/>
              </v:shape>
            </w:pict>
          </mc:Fallback>
        </mc:AlternateContent>
      </w:r>
      <w:r w:rsidR="006817F5">
        <w:rPr>
          <w:noProof/>
          <w:sz w:val="24"/>
          <w:szCs w:val="24"/>
          <w:lang w:eastAsia="fr-BE"/>
        </w:rPr>
        <w:drawing>
          <wp:inline distT="0" distB="0" distL="0" distR="0">
            <wp:extent cx="5762625" cy="39147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 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913481"/>
                    </a:xfrm>
                    <a:prstGeom prst="rect">
                      <a:avLst/>
                    </a:prstGeom>
                  </pic:spPr>
                </pic:pic>
              </a:graphicData>
            </a:graphic>
          </wp:inline>
        </w:drawing>
      </w:r>
    </w:p>
    <w:p w:rsidR="006817F5" w:rsidRDefault="006817F5" w:rsidP="006817F5">
      <w:pPr>
        <w:spacing w:after="0"/>
        <w:jc w:val="center"/>
        <w:rPr>
          <w:sz w:val="24"/>
          <w:szCs w:val="24"/>
        </w:rPr>
      </w:pPr>
      <w:r>
        <w:rPr>
          <w:sz w:val="24"/>
          <w:szCs w:val="24"/>
        </w:rPr>
        <w:t xml:space="preserve">Figure 1 – Représentation schématique du système de </w:t>
      </w:r>
      <w:r w:rsidR="00C273BF">
        <w:rPr>
          <w:sz w:val="24"/>
          <w:szCs w:val="24"/>
        </w:rPr>
        <w:t xml:space="preserve">la </w:t>
      </w:r>
      <w:r>
        <w:rPr>
          <w:sz w:val="24"/>
          <w:szCs w:val="24"/>
        </w:rPr>
        <w:t xml:space="preserve">régulation </w:t>
      </w:r>
      <w:r w:rsidR="00051C9B">
        <w:rPr>
          <w:sz w:val="24"/>
          <w:szCs w:val="24"/>
        </w:rPr>
        <w:t>tensionnelle</w:t>
      </w:r>
    </w:p>
    <w:p w:rsidR="006817F5" w:rsidRDefault="006817F5" w:rsidP="006817F5">
      <w:pPr>
        <w:spacing w:after="0"/>
        <w:jc w:val="center"/>
        <w:rPr>
          <w:sz w:val="24"/>
          <w:szCs w:val="24"/>
        </w:rPr>
      </w:pPr>
      <w:proofErr w:type="gramStart"/>
      <w:r>
        <w:rPr>
          <w:sz w:val="24"/>
          <w:szCs w:val="24"/>
        </w:rPr>
        <w:t>dépendant</w:t>
      </w:r>
      <w:proofErr w:type="gramEnd"/>
      <w:r>
        <w:rPr>
          <w:sz w:val="24"/>
          <w:szCs w:val="24"/>
        </w:rPr>
        <w:t xml:space="preserve"> de l’angiotensine et des deux enzymes de conversion</w:t>
      </w:r>
    </w:p>
    <w:p w:rsidR="006817F5" w:rsidRDefault="006817F5" w:rsidP="006817F5">
      <w:pPr>
        <w:spacing w:after="0"/>
        <w:rPr>
          <w:sz w:val="24"/>
          <w:szCs w:val="24"/>
        </w:rPr>
      </w:pPr>
      <w:r>
        <w:rPr>
          <w:sz w:val="24"/>
          <w:szCs w:val="24"/>
        </w:rPr>
        <w:lastRenderedPageBreak/>
        <w:t xml:space="preserve">Le foie libère en permanence de </w:t>
      </w:r>
      <w:r w:rsidR="00C85181">
        <w:rPr>
          <w:sz w:val="24"/>
          <w:szCs w:val="24"/>
        </w:rPr>
        <w:t>l’</w:t>
      </w:r>
      <w:proofErr w:type="spellStart"/>
      <w:r w:rsidR="00C85181">
        <w:rPr>
          <w:sz w:val="24"/>
          <w:szCs w:val="24"/>
        </w:rPr>
        <w:t>angiotenisogène</w:t>
      </w:r>
      <w:proofErr w:type="spellEnd"/>
      <w:r w:rsidR="00C85181">
        <w:rPr>
          <w:sz w:val="24"/>
          <w:szCs w:val="24"/>
        </w:rPr>
        <w:t xml:space="preserve"> qui lors des c</w:t>
      </w:r>
      <w:r>
        <w:rPr>
          <w:sz w:val="24"/>
          <w:szCs w:val="24"/>
        </w:rPr>
        <w:t>hangement</w:t>
      </w:r>
      <w:r w:rsidR="00C85181">
        <w:rPr>
          <w:sz w:val="24"/>
          <w:szCs w:val="24"/>
        </w:rPr>
        <w:t>s</w:t>
      </w:r>
      <w:r>
        <w:rPr>
          <w:sz w:val="24"/>
          <w:szCs w:val="24"/>
        </w:rPr>
        <w:t xml:space="preserve"> rapides de la tensi</w:t>
      </w:r>
      <w:r w:rsidR="00C85181">
        <w:rPr>
          <w:sz w:val="24"/>
          <w:szCs w:val="24"/>
        </w:rPr>
        <w:t>o</w:t>
      </w:r>
      <w:r>
        <w:rPr>
          <w:sz w:val="24"/>
          <w:szCs w:val="24"/>
        </w:rPr>
        <w:t>n artérielle, le pass</w:t>
      </w:r>
      <w:r w:rsidR="00C85181">
        <w:rPr>
          <w:sz w:val="24"/>
          <w:szCs w:val="24"/>
        </w:rPr>
        <w:t>a</w:t>
      </w:r>
      <w:r>
        <w:rPr>
          <w:sz w:val="24"/>
          <w:szCs w:val="24"/>
        </w:rPr>
        <w:t>ge de la</w:t>
      </w:r>
      <w:r w:rsidR="00C85181">
        <w:rPr>
          <w:sz w:val="24"/>
          <w:szCs w:val="24"/>
        </w:rPr>
        <w:t xml:space="preserve"> </w:t>
      </w:r>
      <w:r>
        <w:rPr>
          <w:sz w:val="24"/>
          <w:szCs w:val="24"/>
        </w:rPr>
        <w:t>pos</w:t>
      </w:r>
      <w:r w:rsidR="00C85181">
        <w:rPr>
          <w:sz w:val="24"/>
          <w:szCs w:val="24"/>
        </w:rPr>
        <w:t>i</w:t>
      </w:r>
      <w:r>
        <w:rPr>
          <w:sz w:val="24"/>
          <w:szCs w:val="24"/>
        </w:rPr>
        <w:t>tion couché</w:t>
      </w:r>
      <w:r w:rsidR="00C85181">
        <w:rPr>
          <w:sz w:val="24"/>
          <w:szCs w:val="24"/>
        </w:rPr>
        <w:t>e</w:t>
      </w:r>
      <w:r>
        <w:rPr>
          <w:sz w:val="24"/>
          <w:szCs w:val="24"/>
        </w:rPr>
        <w:t xml:space="preserve"> à la position verticale par exemple, </w:t>
      </w:r>
      <w:r w:rsidR="00B12621">
        <w:rPr>
          <w:sz w:val="24"/>
          <w:szCs w:val="24"/>
        </w:rPr>
        <w:t xml:space="preserve">va subir l’action </w:t>
      </w:r>
      <w:r w:rsidR="00C85181">
        <w:rPr>
          <w:sz w:val="24"/>
          <w:szCs w:val="24"/>
        </w:rPr>
        <w:t>d’une</w:t>
      </w:r>
      <w:r w:rsidR="00C273BF">
        <w:rPr>
          <w:sz w:val="24"/>
          <w:szCs w:val="24"/>
        </w:rPr>
        <w:t xml:space="preserve"> hormone</w:t>
      </w:r>
      <w:r w:rsidR="00C85181">
        <w:rPr>
          <w:sz w:val="24"/>
          <w:szCs w:val="24"/>
        </w:rPr>
        <w:t xml:space="preserve"> produite par le rein, la rénine. L’</w:t>
      </w:r>
      <w:proofErr w:type="spellStart"/>
      <w:r w:rsidR="00C85181">
        <w:rPr>
          <w:sz w:val="24"/>
          <w:szCs w:val="24"/>
        </w:rPr>
        <w:t>angiotensinogène</w:t>
      </w:r>
      <w:proofErr w:type="spellEnd"/>
      <w:r w:rsidR="00C85181">
        <w:rPr>
          <w:sz w:val="24"/>
          <w:szCs w:val="24"/>
        </w:rPr>
        <w:t xml:space="preserve"> est transformée en angiotensine 1. Cette dernière</w:t>
      </w:r>
      <w:r w:rsidR="00BF21F0">
        <w:rPr>
          <w:sz w:val="24"/>
          <w:szCs w:val="24"/>
        </w:rPr>
        <w:t>, inactive,</w:t>
      </w:r>
      <w:r w:rsidR="00C85181">
        <w:rPr>
          <w:sz w:val="24"/>
          <w:szCs w:val="24"/>
        </w:rPr>
        <w:t xml:space="preserve"> subit alors l’action d’un enzyme de conversion I, ou ACE</w:t>
      </w:r>
      <w:r w:rsidR="002C5DB1">
        <w:rPr>
          <w:sz w:val="24"/>
          <w:szCs w:val="24"/>
        </w:rPr>
        <w:t xml:space="preserve"> 1</w:t>
      </w:r>
      <w:r w:rsidR="002C5DB1">
        <w:rPr>
          <w:rStyle w:val="Appelnotedebasdep"/>
          <w:sz w:val="24"/>
          <w:szCs w:val="24"/>
        </w:rPr>
        <w:footnoteReference w:id="1"/>
      </w:r>
      <w:r w:rsidR="00C85181">
        <w:rPr>
          <w:sz w:val="24"/>
          <w:szCs w:val="24"/>
        </w:rPr>
        <w:t xml:space="preserve">, qui aboutit à la formation de l’angiotensine 2 qui a pour effet de soutenir la tension artérielle par une vasoconstriction et via </w:t>
      </w:r>
      <w:r w:rsidR="002C5DB1">
        <w:rPr>
          <w:sz w:val="24"/>
          <w:szCs w:val="24"/>
        </w:rPr>
        <w:t>u</w:t>
      </w:r>
      <w:r w:rsidR="00C85181">
        <w:rPr>
          <w:sz w:val="24"/>
          <w:szCs w:val="24"/>
        </w:rPr>
        <w:t xml:space="preserve">ne stimulation de l’aldostérone au  niveau du cortex surrénal, une hausse de la volémie. </w:t>
      </w:r>
    </w:p>
    <w:p w:rsidR="002C5DB1" w:rsidRDefault="002C5DB1" w:rsidP="006817F5">
      <w:pPr>
        <w:spacing w:after="0"/>
        <w:rPr>
          <w:sz w:val="24"/>
          <w:szCs w:val="24"/>
        </w:rPr>
      </w:pPr>
      <w:r>
        <w:rPr>
          <w:sz w:val="24"/>
          <w:szCs w:val="24"/>
        </w:rPr>
        <w:t>Ce système est équilibré par une 2</w:t>
      </w:r>
      <w:r w:rsidRPr="002C5DB1">
        <w:rPr>
          <w:sz w:val="24"/>
          <w:szCs w:val="24"/>
          <w:vertAlign w:val="superscript"/>
        </w:rPr>
        <w:t>ième</w:t>
      </w:r>
      <w:r>
        <w:rPr>
          <w:sz w:val="24"/>
          <w:szCs w:val="24"/>
        </w:rPr>
        <w:t xml:space="preserve"> enzyme de conversion, dérivée de la 1</w:t>
      </w:r>
      <w:r w:rsidRPr="002C5DB1">
        <w:rPr>
          <w:sz w:val="24"/>
          <w:szCs w:val="24"/>
          <w:vertAlign w:val="superscript"/>
        </w:rPr>
        <w:t>ère</w:t>
      </w:r>
      <w:r w:rsidR="006F757F">
        <w:rPr>
          <w:sz w:val="24"/>
          <w:szCs w:val="24"/>
        </w:rPr>
        <w:t xml:space="preserve"> : l’ACE 2 </w:t>
      </w:r>
      <w:r>
        <w:rPr>
          <w:sz w:val="24"/>
          <w:szCs w:val="24"/>
        </w:rPr>
        <w:t xml:space="preserve"> qui a un effet inverse (voir caractères en rouge de la figure 1)</w:t>
      </w:r>
      <w:r w:rsidR="00386D64">
        <w:rPr>
          <w:sz w:val="24"/>
          <w:szCs w:val="24"/>
        </w:rPr>
        <w:t xml:space="preserve"> (1)</w:t>
      </w:r>
      <w:r>
        <w:rPr>
          <w:sz w:val="24"/>
          <w:szCs w:val="24"/>
        </w:rPr>
        <w:t xml:space="preserve">: </w:t>
      </w:r>
    </w:p>
    <w:p w:rsidR="002C5DB1" w:rsidRDefault="00AE2045" w:rsidP="006817F5">
      <w:pPr>
        <w:spacing w:after="0"/>
        <w:rPr>
          <w:sz w:val="24"/>
          <w:szCs w:val="24"/>
        </w:rPr>
      </w:pPr>
      <w:r>
        <w:rPr>
          <w:sz w:val="24"/>
          <w:szCs w:val="24"/>
        </w:rPr>
        <w:t>- vasodilatation,</w:t>
      </w:r>
    </w:p>
    <w:p w:rsidR="00AE2045" w:rsidRDefault="00AE2045" w:rsidP="006817F5">
      <w:pPr>
        <w:spacing w:after="0"/>
        <w:rPr>
          <w:sz w:val="24"/>
          <w:szCs w:val="24"/>
        </w:rPr>
      </w:pPr>
      <w:r>
        <w:rPr>
          <w:sz w:val="24"/>
          <w:szCs w:val="24"/>
        </w:rPr>
        <w:t>- diminution de la croissance cellulaire,</w:t>
      </w:r>
    </w:p>
    <w:p w:rsidR="00AE2045" w:rsidRDefault="00AE2045" w:rsidP="006817F5">
      <w:pPr>
        <w:spacing w:after="0"/>
        <w:rPr>
          <w:sz w:val="24"/>
          <w:szCs w:val="24"/>
        </w:rPr>
      </w:pPr>
      <w:r>
        <w:rPr>
          <w:sz w:val="24"/>
          <w:szCs w:val="24"/>
        </w:rPr>
        <w:t>- apoptose,</w:t>
      </w:r>
    </w:p>
    <w:p w:rsidR="00AE2045" w:rsidRDefault="00AE2045" w:rsidP="006817F5">
      <w:pPr>
        <w:spacing w:after="0"/>
        <w:rPr>
          <w:sz w:val="24"/>
          <w:szCs w:val="24"/>
        </w:rPr>
      </w:pPr>
      <w:r>
        <w:rPr>
          <w:sz w:val="24"/>
          <w:szCs w:val="24"/>
        </w:rPr>
        <w:t>- infiltration par les macrophages,</w:t>
      </w:r>
    </w:p>
    <w:p w:rsidR="00AE2045" w:rsidRDefault="00AE2045" w:rsidP="006817F5">
      <w:pPr>
        <w:spacing w:after="0"/>
        <w:rPr>
          <w:sz w:val="24"/>
          <w:szCs w:val="24"/>
        </w:rPr>
      </w:pPr>
      <w:r>
        <w:rPr>
          <w:sz w:val="24"/>
          <w:szCs w:val="24"/>
        </w:rPr>
        <w:t>- augmentation de synthèse de PGE</w:t>
      </w:r>
      <w:r w:rsidRPr="004A23C8">
        <w:rPr>
          <w:sz w:val="24"/>
          <w:szCs w:val="24"/>
          <w:vertAlign w:val="subscript"/>
        </w:rPr>
        <w:t>2</w:t>
      </w:r>
      <w:r>
        <w:rPr>
          <w:sz w:val="24"/>
          <w:szCs w:val="24"/>
        </w:rPr>
        <w:t xml:space="preserve"> et de la PGE</w:t>
      </w:r>
      <w:r w:rsidRPr="004A23C8">
        <w:rPr>
          <w:sz w:val="24"/>
          <w:szCs w:val="24"/>
          <w:vertAlign w:val="subscript"/>
        </w:rPr>
        <w:t>2</w:t>
      </w:r>
      <w:r>
        <w:rPr>
          <w:sz w:val="24"/>
          <w:szCs w:val="24"/>
        </w:rPr>
        <w:t xml:space="preserve"> </w:t>
      </w:r>
      <w:r>
        <w:rPr>
          <w:rFonts w:ascii="Times New Roman" w:hAnsi="Times New Roman" w:cs="Times New Roman"/>
          <w:sz w:val="24"/>
          <w:szCs w:val="24"/>
        </w:rPr>
        <w:t>α</w:t>
      </w:r>
      <w:r>
        <w:rPr>
          <w:sz w:val="24"/>
          <w:szCs w:val="24"/>
        </w:rPr>
        <w:t>.</w:t>
      </w:r>
    </w:p>
    <w:p w:rsidR="00903893" w:rsidRDefault="00AE2045" w:rsidP="006817F5">
      <w:pPr>
        <w:spacing w:after="0"/>
        <w:rPr>
          <w:sz w:val="24"/>
          <w:szCs w:val="24"/>
        </w:rPr>
      </w:pPr>
      <w:r>
        <w:rPr>
          <w:sz w:val="24"/>
          <w:szCs w:val="24"/>
        </w:rPr>
        <w:t>Il s’agit donc d’une réaction inflammatoire.</w:t>
      </w:r>
      <w:r w:rsidR="00903893">
        <w:rPr>
          <w:sz w:val="24"/>
          <w:szCs w:val="24"/>
        </w:rPr>
        <w:t xml:space="preserve"> Cet ACE 2 est présente principalement dans les poumons, mais aussi dans le cœur, les vaisseaux sanguins, les reins, le foie et le tractus</w:t>
      </w:r>
    </w:p>
    <w:p w:rsidR="00AE2045" w:rsidRDefault="00903893" w:rsidP="006817F5">
      <w:pPr>
        <w:spacing w:after="0"/>
        <w:rPr>
          <w:sz w:val="24"/>
          <w:szCs w:val="24"/>
        </w:rPr>
      </w:pPr>
      <w:proofErr w:type="gramStart"/>
      <w:r>
        <w:rPr>
          <w:sz w:val="24"/>
          <w:szCs w:val="24"/>
        </w:rPr>
        <w:t>gastro-intestinal</w:t>
      </w:r>
      <w:proofErr w:type="gramEnd"/>
      <w:r>
        <w:rPr>
          <w:sz w:val="24"/>
          <w:szCs w:val="24"/>
        </w:rPr>
        <w:t>.</w:t>
      </w:r>
      <w:r w:rsidR="00754E39">
        <w:rPr>
          <w:sz w:val="24"/>
          <w:szCs w:val="24"/>
        </w:rPr>
        <w:t xml:space="preserve"> Dans les poumons elle est surtout présente dans les </w:t>
      </w:r>
      <w:proofErr w:type="spellStart"/>
      <w:r w:rsidR="00754E39">
        <w:rPr>
          <w:sz w:val="24"/>
          <w:szCs w:val="24"/>
        </w:rPr>
        <w:t>pneumocytes</w:t>
      </w:r>
      <w:proofErr w:type="spellEnd"/>
      <w:r w:rsidR="00754E39">
        <w:rPr>
          <w:sz w:val="24"/>
          <w:szCs w:val="24"/>
        </w:rPr>
        <w:t xml:space="preserve"> type 2 qui sont responsables de la production de surfactant qui assurent la fluidité des sécrétions bronchiques.</w:t>
      </w:r>
    </w:p>
    <w:p w:rsidR="00F02BC3" w:rsidRDefault="00F02BC3" w:rsidP="006817F5">
      <w:pPr>
        <w:spacing w:after="0"/>
        <w:rPr>
          <w:sz w:val="24"/>
          <w:szCs w:val="24"/>
        </w:rPr>
      </w:pPr>
    </w:p>
    <w:p w:rsidR="00F02BC3" w:rsidRDefault="00F02BC3" w:rsidP="006817F5">
      <w:pPr>
        <w:spacing w:after="0"/>
        <w:rPr>
          <w:sz w:val="24"/>
          <w:szCs w:val="24"/>
        </w:rPr>
      </w:pPr>
      <w:r>
        <w:rPr>
          <w:sz w:val="24"/>
          <w:szCs w:val="24"/>
        </w:rPr>
        <w:t>Quand le COVID-19 se fixe sur l’ACE 2, la fonction régulatrice de l’angiotensine 2 est donc perturbée et cela va altérer les tissus siège</w:t>
      </w:r>
      <w:r w:rsidR="00B12621">
        <w:rPr>
          <w:sz w:val="24"/>
          <w:szCs w:val="24"/>
        </w:rPr>
        <w:t>s</w:t>
      </w:r>
      <w:r>
        <w:rPr>
          <w:sz w:val="24"/>
          <w:szCs w:val="24"/>
        </w:rPr>
        <w:t xml:space="preserve"> de </w:t>
      </w:r>
      <w:r w:rsidR="004C036C">
        <w:rPr>
          <w:sz w:val="24"/>
          <w:szCs w:val="24"/>
        </w:rPr>
        <w:t>cette fonction</w:t>
      </w:r>
      <w:r w:rsidR="00386D64">
        <w:rPr>
          <w:sz w:val="24"/>
          <w:szCs w:val="24"/>
        </w:rPr>
        <w:t xml:space="preserve"> (2)</w:t>
      </w:r>
      <w:r w:rsidR="004C036C">
        <w:rPr>
          <w:sz w:val="24"/>
          <w:szCs w:val="24"/>
        </w:rPr>
        <w:t>. Le tissu le premier et  le plus atteint est le parenchyme pulmonaire avec à terme un obstacle à la résorption de l’oxygène de l’air inspiré. Mais étant donné qu’il y a de l</w:t>
      </w:r>
      <w:r w:rsidR="00624C23">
        <w:rPr>
          <w:sz w:val="24"/>
          <w:szCs w:val="24"/>
        </w:rPr>
        <w:t>’ACE2</w:t>
      </w:r>
      <w:r w:rsidR="004C036C">
        <w:rPr>
          <w:sz w:val="24"/>
          <w:szCs w:val="24"/>
        </w:rPr>
        <w:t xml:space="preserve"> dans d’autres organes, l’infection est de nature à s’étendre et à se développer en maladie systémique dont les symptômes sont multiples et variés.</w:t>
      </w:r>
    </w:p>
    <w:p w:rsidR="00B5779B" w:rsidRDefault="00B5779B" w:rsidP="006817F5">
      <w:pPr>
        <w:spacing w:after="0"/>
        <w:rPr>
          <w:sz w:val="24"/>
          <w:szCs w:val="24"/>
        </w:rPr>
      </w:pPr>
      <w:r>
        <w:rPr>
          <w:sz w:val="24"/>
          <w:szCs w:val="24"/>
        </w:rPr>
        <w:t>Cela permet la description de la maladie en 4 étapes (3) :</w:t>
      </w:r>
    </w:p>
    <w:p w:rsidR="00894A6B" w:rsidRDefault="00894A6B" w:rsidP="006817F5">
      <w:pPr>
        <w:spacing w:after="0"/>
        <w:rPr>
          <w:sz w:val="24"/>
          <w:szCs w:val="24"/>
        </w:rPr>
      </w:pPr>
    </w:p>
    <w:p w:rsidR="00AE2045" w:rsidRDefault="00B5779B" w:rsidP="00D34787">
      <w:pPr>
        <w:pBdr>
          <w:top w:val="single" w:sz="4" w:space="1" w:color="auto"/>
          <w:left w:val="single" w:sz="4" w:space="4" w:color="auto"/>
          <w:bottom w:val="single" w:sz="4" w:space="1" w:color="auto"/>
          <w:right w:val="single" w:sz="4" w:space="4" w:color="auto"/>
        </w:pBdr>
        <w:spacing w:after="0"/>
        <w:rPr>
          <w:sz w:val="24"/>
          <w:szCs w:val="24"/>
        </w:rPr>
      </w:pPr>
      <w:r>
        <w:rPr>
          <w:sz w:val="24"/>
          <w:szCs w:val="24"/>
        </w:rPr>
        <w:t>1</w:t>
      </w:r>
      <w:r w:rsidR="00051C9B">
        <w:rPr>
          <w:sz w:val="24"/>
          <w:szCs w:val="24"/>
        </w:rPr>
        <w:t xml:space="preserve"> </w:t>
      </w:r>
      <w:r>
        <w:rPr>
          <w:sz w:val="24"/>
          <w:szCs w:val="24"/>
        </w:rPr>
        <w:t>-</w:t>
      </w:r>
      <w:r w:rsidR="00051C9B">
        <w:rPr>
          <w:sz w:val="24"/>
          <w:szCs w:val="24"/>
        </w:rPr>
        <w:t xml:space="preserve"> </w:t>
      </w:r>
      <w:r>
        <w:rPr>
          <w:sz w:val="24"/>
          <w:szCs w:val="24"/>
        </w:rPr>
        <w:t xml:space="preserve">L’infection </w:t>
      </w:r>
      <w:r w:rsidR="00051C9B">
        <w:rPr>
          <w:sz w:val="24"/>
          <w:szCs w:val="24"/>
        </w:rPr>
        <w:t xml:space="preserve">se fait </w:t>
      </w:r>
      <w:r>
        <w:rPr>
          <w:sz w:val="24"/>
          <w:szCs w:val="24"/>
        </w:rPr>
        <w:t>via des gouttelettes de salive ou des mains contaminées portées au visage.</w:t>
      </w:r>
      <w:r w:rsidR="00624C23">
        <w:rPr>
          <w:sz w:val="24"/>
          <w:szCs w:val="24"/>
        </w:rPr>
        <w:t xml:space="preserve"> Elle pénètre par le nez ou les voies respiratoires supérieures.</w:t>
      </w:r>
    </w:p>
    <w:p w:rsidR="00B5779B" w:rsidRDefault="00B5779B" w:rsidP="00D34787">
      <w:pPr>
        <w:pBdr>
          <w:top w:val="single" w:sz="4" w:space="1" w:color="auto"/>
          <w:left w:val="single" w:sz="4" w:space="4" w:color="auto"/>
          <w:bottom w:val="single" w:sz="4" w:space="1" w:color="auto"/>
          <w:right w:val="single" w:sz="4" w:space="4" w:color="auto"/>
        </w:pBdr>
        <w:spacing w:after="0"/>
        <w:rPr>
          <w:sz w:val="24"/>
          <w:szCs w:val="24"/>
        </w:rPr>
      </w:pPr>
      <w:r>
        <w:rPr>
          <w:sz w:val="24"/>
          <w:szCs w:val="24"/>
        </w:rPr>
        <w:t xml:space="preserve">2 – La phase d’incubation de 5 à 6 jours : </w:t>
      </w:r>
      <w:r w:rsidR="00051C9B">
        <w:rPr>
          <w:sz w:val="24"/>
          <w:szCs w:val="24"/>
        </w:rPr>
        <w:t xml:space="preserve">il n’y pas encore </w:t>
      </w:r>
      <w:r>
        <w:rPr>
          <w:sz w:val="24"/>
          <w:szCs w:val="24"/>
        </w:rPr>
        <w:t xml:space="preserve"> de symptômes mais on peut être contaminant.</w:t>
      </w:r>
    </w:p>
    <w:p w:rsidR="00B5779B" w:rsidRDefault="00B5779B" w:rsidP="00D34787">
      <w:pPr>
        <w:pBdr>
          <w:top w:val="single" w:sz="4" w:space="1" w:color="auto"/>
          <w:left w:val="single" w:sz="4" w:space="4" w:color="auto"/>
          <w:bottom w:val="single" w:sz="4" w:space="1" w:color="auto"/>
          <w:right w:val="single" w:sz="4" w:space="4" w:color="auto"/>
        </w:pBdr>
        <w:spacing w:after="0"/>
        <w:rPr>
          <w:sz w:val="24"/>
          <w:szCs w:val="24"/>
        </w:rPr>
      </w:pPr>
      <w:r>
        <w:rPr>
          <w:sz w:val="24"/>
          <w:szCs w:val="24"/>
        </w:rPr>
        <w:t>3 – La phase virale de 7 à 14 jours :</w:t>
      </w:r>
      <w:r w:rsidR="00051C9B">
        <w:rPr>
          <w:sz w:val="24"/>
          <w:szCs w:val="24"/>
        </w:rPr>
        <w:t xml:space="preserve"> le virus se multiplie et dissémine dans l’organisme et est cause des symptômes classiques d’une grippe : toux, fièvre, fatigue, </w:t>
      </w:r>
      <w:r w:rsidR="00D34787">
        <w:rPr>
          <w:sz w:val="24"/>
          <w:szCs w:val="24"/>
        </w:rPr>
        <w:t>diarrhée</w:t>
      </w:r>
      <w:r w:rsidR="00051C9B">
        <w:rPr>
          <w:sz w:val="24"/>
          <w:szCs w:val="24"/>
        </w:rPr>
        <w:t>… Les symptômes liés à l’infection du parenchym</w:t>
      </w:r>
      <w:r w:rsidR="00D34787">
        <w:rPr>
          <w:sz w:val="24"/>
          <w:szCs w:val="24"/>
        </w:rPr>
        <w:t>e pulmona</w:t>
      </w:r>
      <w:r w:rsidR="00051C9B">
        <w:rPr>
          <w:sz w:val="24"/>
          <w:szCs w:val="24"/>
        </w:rPr>
        <w:t xml:space="preserve">ire et des voies respiratoires supérieures </w:t>
      </w:r>
      <w:r w:rsidR="00D34787">
        <w:rPr>
          <w:sz w:val="24"/>
          <w:szCs w:val="24"/>
        </w:rPr>
        <w:t>dominent</w:t>
      </w:r>
      <w:r w:rsidR="00051C9B">
        <w:rPr>
          <w:sz w:val="24"/>
          <w:szCs w:val="24"/>
        </w:rPr>
        <w:t xml:space="preserve"> généralement la </w:t>
      </w:r>
      <w:r w:rsidR="00D34787">
        <w:rPr>
          <w:sz w:val="24"/>
          <w:szCs w:val="24"/>
        </w:rPr>
        <w:t>clinique</w:t>
      </w:r>
      <w:r w:rsidR="00051C9B">
        <w:rPr>
          <w:sz w:val="24"/>
          <w:szCs w:val="24"/>
        </w:rPr>
        <w:t>.</w:t>
      </w:r>
      <w:r w:rsidR="00D34787">
        <w:rPr>
          <w:sz w:val="24"/>
          <w:szCs w:val="24"/>
        </w:rPr>
        <w:t xml:space="preserve"> La charge virale devient moins importante 7 jours après le début des symptômes.</w:t>
      </w:r>
    </w:p>
    <w:p w:rsidR="00D34787" w:rsidRDefault="00D34787" w:rsidP="00D34787">
      <w:pPr>
        <w:pBdr>
          <w:top w:val="single" w:sz="4" w:space="1" w:color="auto"/>
          <w:left w:val="single" w:sz="4" w:space="4" w:color="auto"/>
          <w:bottom w:val="single" w:sz="4" w:space="1" w:color="auto"/>
          <w:right w:val="single" w:sz="4" w:space="4" w:color="auto"/>
        </w:pBdr>
        <w:spacing w:after="0"/>
        <w:rPr>
          <w:sz w:val="24"/>
          <w:szCs w:val="24"/>
        </w:rPr>
      </w:pPr>
      <w:r>
        <w:rPr>
          <w:sz w:val="24"/>
          <w:szCs w:val="24"/>
        </w:rPr>
        <w:lastRenderedPageBreak/>
        <w:t xml:space="preserve">4 – La phase inflammatoire : l’infection virale déclenche ensuite une réaction inflammatoire pour se débarrasser du virus. Cette phase peut durer de 2 à 3 </w:t>
      </w:r>
      <w:r w:rsidR="00A97A35">
        <w:rPr>
          <w:sz w:val="24"/>
          <w:szCs w:val="24"/>
        </w:rPr>
        <w:t>semaines,</w:t>
      </w:r>
      <w:r>
        <w:rPr>
          <w:sz w:val="24"/>
          <w:szCs w:val="24"/>
        </w:rPr>
        <w:t xml:space="preserve"> peut être violente et qualifiée parfois « d’orage </w:t>
      </w:r>
      <w:proofErr w:type="spellStart"/>
      <w:r>
        <w:rPr>
          <w:sz w:val="24"/>
          <w:szCs w:val="24"/>
        </w:rPr>
        <w:t>cytokinique</w:t>
      </w:r>
      <w:proofErr w:type="spellEnd"/>
      <w:r>
        <w:rPr>
          <w:sz w:val="24"/>
          <w:szCs w:val="24"/>
        </w:rPr>
        <w:t> ».</w:t>
      </w:r>
    </w:p>
    <w:p w:rsidR="00AE2045" w:rsidRDefault="00AE2045" w:rsidP="006817F5">
      <w:pPr>
        <w:spacing w:after="0"/>
        <w:rPr>
          <w:sz w:val="24"/>
          <w:szCs w:val="24"/>
        </w:rPr>
      </w:pPr>
    </w:p>
    <w:p w:rsidR="00C273BF" w:rsidRDefault="00D34787" w:rsidP="00D34787">
      <w:pPr>
        <w:spacing w:after="0"/>
        <w:jc w:val="center"/>
        <w:rPr>
          <w:sz w:val="24"/>
          <w:szCs w:val="24"/>
        </w:rPr>
      </w:pPr>
      <w:r>
        <w:rPr>
          <w:sz w:val="24"/>
          <w:szCs w:val="24"/>
        </w:rPr>
        <w:t>Figure 2 – Représentation résumée des phases de l’infection (3)</w:t>
      </w:r>
    </w:p>
    <w:p w:rsidR="00D34787" w:rsidRDefault="00D34787" w:rsidP="00D34787">
      <w:pPr>
        <w:spacing w:after="0"/>
        <w:jc w:val="center"/>
        <w:rPr>
          <w:sz w:val="24"/>
          <w:szCs w:val="24"/>
        </w:rPr>
      </w:pPr>
    </w:p>
    <w:p w:rsidR="00D34787" w:rsidRDefault="00D34787" w:rsidP="00D34787">
      <w:pPr>
        <w:spacing w:after="0"/>
        <w:jc w:val="center"/>
        <w:rPr>
          <w:b/>
          <w:sz w:val="28"/>
          <w:szCs w:val="28"/>
        </w:rPr>
      </w:pPr>
      <w:r w:rsidRPr="00D34787">
        <w:rPr>
          <w:b/>
          <w:sz w:val="28"/>
          <w:szCs w:val="28"/>
        </w:rPr>
        <w:t>Mode d’action possible des traitements proposés</w:t>
      </w:r>
    </w:p>
    <w:p w:rsidR="00D34787" w:rsidRDefault="00D34787" w:rsidP="00D34787">
      <w:pPr>
        <w:spacing w:after="0"/>
        <w:jc w:val="center"/>
        <w:rPr>
          <w:b/>
          <w:sz w:val="28"/>
          <w:szCs w:val="28"/>
        </w:rPr>
      </w:pPr>
    </w:p>
    <w:p w:rsidR="00D34787" w:rsidRDefault="00D34787" w:rsidP="00D34787">
      <w:pPr>
        <w:spacing w:after="0"/>
        <w:jc w:val="center"/>
        <w:rPr>
          <w:b/>
          <w:sz w:val="28"/>
          <w:szCs w:val="28"/>
        </w:rPr>
      </w:pPr>
      <w:r>
        <w:rPr>
          <w:b/>
          <w:sz w:val="28"/>
          <w:szCs w:val="28"/>
        </w:rPr>
        <w:t>La chloroquine et l’hydroxy</w:t>
      </w:r>
      <w:r w:rsidR="000E0707">
        <w:rPr>
          <w:b/>
          <w:sz w:val="28"/>
          <w:szCs w:val="28"/>
        </w:rPr>
        <w:t>-</w:t>
      </w:r>
      <w:r>
        <w:rPr>
          <w:b/>
          <w:sz w:val="28"/>
          <w:szCs w:val="28"/>
        </w:rPr>
        <w:t>chloroquine</w:t>
      </w:r>
    </w:p>
    <w:p w:rsidR="00D34787" w:rsidRDefault="00A97A35" w:rsidP="00992B01">
      <w:pPr>
        <w:spacing w:after="0"/>
        <w:rPr>
          <w:sz w:val="24"/>
          <w:szCs w:val="24"/>
        </w:rPr>
      </w:pPr>
      <w:r>
        <w:rPr>
          <w:sz w:val="24"/>
          <w:szCs w:val="24"/>
        </w:rPr>
        <w:t>Ces deux substances très pr</w:t>
      </w:r>
      <w:r w:rsidR="00624C23">
        <w:rPr>
          <w:sz w:val="24"/>
          <w:szCs w:val="24"/>
        </w:rPr>
        <w:t>oches sont connues depuis plusieurs</w:t>
      </w:r>
      <w:r>
        <w:rPr>
          <w:sz w:val="24"/>
          <w:szCs w:val="24"/>
        </w:rPr>
        <w:t xml:space="preserve"> décennies pour la prévention et le traitement du paludisme ainsi que pour certaines affections rhumatismales. </w:t>
      </w:r>
      <w:r w:rsidR="000B2E26">
        <w:rPr>
          <w:sz w:val="24"/>
          <w:szCs w:val="24"/>
        </w:rPr>
        <w:t>C</w:t>
      </w:r>
      <w:r w:rsidR="00992B01">
        <w:rPr>
          <w:sz w:val="24"/>
          <w:szCs w:val="24"/>
        </w:rPr>
        <w:t xml:space="preserve">’est dire </w:t>
      </w:r>
      <w:r w:rsidR="000B2E26">
        <w:rPr>
          <w:sz w:val="24"/>
          <w:szCs w:val="24"/>
        </w:rPr>
        <w:t xml:space="preserve">quelles sont très connues et leurs effets secondaires bien identifiés. </w:t>
      </w:r>
    </w:p>
    <w:p w:rsidR="00992B01" w:rsidRDefault="00992B01" w:rsidP="00992B01">
      <w:pPr>
        <w:spacing w:after="0"/>
        <w:jc w:val="center"/>
        <w:rPr>
          <w:b/>
          <w:sz w:val="28"/>
          <w:szCs w:val="28"/>
        </w:rPr>
      </w:pPr>
      <w:r>
        <w:rPr>
          <w:b/>
          <w:noProof/>
          <w:sz w:val="28"/>
          <w:szCs w:val="28"/>
          <w:lang w:eastAsia="fr-BE"/>
        </w:rPr>
        <w:drawing>
          <wp:inline distT="0" distB="0" distL="0" distR="0">
            <wp:extent cx="5760720" cy="24765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et HD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2476500"/>
                    </a:xfrm>
                    <a:prstGeom prst="rect">
                      <a:avLst/>
                    </a:prstGeom>
                  </pic:spPr>
                </pic:pic>
              </a:graphicData>
            </a:graphic>
          </wp:inline>
        </w:drawing>
      </w:r>
    </w:p>
    <w:p w:rsidR="00D34787" w:rsidRDefault="00992B01" w:rsidP="00992B01">
      <w:pPr>
        <w:spacing w:after="0"/>
        <w:jc w:val="center"/>
        <w:rPr>
          <w:sz w:val="24"/>
          <w:szCs w:val="24"/>
        </w:rPr>
      </w:pPr>
      <w:r>
        <w:rPr>
          <w:sz w:val="24"/>
          <w:szCs w:val="24"/>
        </w:rPr>
        <w:t>Figure 3 – Formules spatiales de la chloroquine</w:t>
      </w:r>
      <w:r w:rsidR="005767F5">
        <w:rPr>
          <w:sz w:val="24"/>
          <w:szCs w:val="24"/>
        </w:rPr>
        <w:t xml:space="preserve"> (CHQ)</w:t>
      </w:r>
      <w:r>
        <w:rPr>
          <w:sz w:val="24"/>
          <w:szCs w:val="24"/>
        </w:rPr>
        <w:t xml:space="preserve"> et de l’</w:t>
      </w:r>
      <w:proofErr w:type="spellStart"/>
      <w:r>
        <w:rPr>
          <w:sz w:val="24"/>
          <w:szCs w:val="24"/>
        </w:rPr>
        <w:t>hydroxychloroquine</w:t>
      </w:r>
      <w:proofErr w:type="spellEnd"/>
      <w:r w:rsidR="005767F5">
        <w:rPr>
          <w:sz w:val="24"/>
          <w:szCs w:val="24"/>
        </w:rPr>
        <w:t xml:space="preserve"> (CHQ-oh)</w:t>
      </w:r>
    </w:p>
    <w:p w:rsidR="00992B01" w:rsidRDefault="00992B01" w:rsidP="00992B01">
      <w:pPr>
        <w:spacing w:after="0"/>
        <w:jc w:val="center"/>
        <w:rPr>
          <w:sz w:val="24"/>
          <w:szCs w:val="24"/>
        </w:rPr>
      </w:pPr>
    </w:p>
    <w:p w:rsidR="00992B01" w:rsidRDefault="00992B01" w:rsidP="00992B01">
      <w:pPr>
        <w:spacing w:after="0"/>
        <w:rPr>
          <w:sz w:val="24"/>
          <w:szCs w:val="24"/>
        </w:rPr>
      </w:pPr>
      <w:r>
        <w:rPr>
          <w:sz w:val="24"/>
          <w:szCs w:val="24"/>
        </w:rPr>
        <w:t xml:space="preserve">Ils sont bien résorbés par voie orale et le taux sanguin est atteint en 1 à 2 heures. </w:t>
      </w:r>
      <w:r w:rsidR="0055102F">
        <w:rPr>
          <w:sz w:val="24"/>
          <w:szCs w:val="24"/>
        </w:rPr>
        <w:t xml:space="preserve">Elles ont un taux de pénétration tissulaire très favorable. </w:t>
      </w:r>
      <w:r>
        <w:rPr>
          <w:sz w:val="24"/>
          <w:szCs w:val="24"/>
        </w:rPr>
        <w:t>Leur temps de demi-vie est assez long, couvre largement un nycthémère de sorte qu’une prise par 24 heures est suffisante. Mais leur temps d’élimination du corps est assez long</w:t>
      </w:r>
      <w:r w:rsidR="00AA7FC3">
        <w:rPr>
          <w:sz w:val="24"/>
          <w:szCs w:val="24"/>
        </w:rPr>
        <w:t>, de UN à DEUX mois</w:t>
      </w:r>
      <w:r>
        <w:rPr>
          <w:sz w:val="24"/>
          <w:szCs w:val="24"/>
        </w:rPr>
        <w:t xml:space="preserve"> parce qu’el</w:t>
      </w:r>
      <w:r w:rsidR="00AA7FC3">
        <w:rPr>
          <w:sz w:val="24"/>
          <w:szCs w:val="24"/>
        </w:rPr>
        <w:t>l</w:t>
      </w:r>
      <w:r>
        <w:rPr>
          <w:sz w:val="24"/>
          <w:szCs w:val="24"/>
        </w:rPr>
        <w:t>es se fixent dans le rein, le foie et la rétine : c’est ce qui explique certains aspects de leur toxicité</w:t>
      </w:r>
      <w:r w:rsidR="00AA7FC3">
        <w:rPr>
          <w:sz w:val="24"/>
          <w:szCs w:val="24"/>
        </w:rPr>
        <w:t xml:space="preserve"> (4).</w:t>
      </w:r>
    </w:p>
    <w:p w:rsidR="00BF725C" w:rsidRDefault="00BF725C" w:rsidP="00992B01">
      <w:pPr>
        <w:spacing w:after="0"/>
        <w:rPr>
          <w:sz w:val="24"/>
          <w:szCs w:val="24"/>
        </w:rPr>
      </w:pPr>
      <w:r>
        <w:rPr>
          <w:sz w:val="24"/>
          <w:szCs w:val="24"/>
        </w:rPr>
        <w:t>L’analyse de leur mode d’action comporte deux volets :</w:t>
      </w:r>
    </w:p>
    <w:p w:rsidR="00BF725C" w:rsidRDefault="00BF725C" w:rsidP="00992B01">
      <w:pPr>
        <w:spacing w:after="0"/>
        <w:rPr>
          <w:sz w:val="24"/>
          <w:szCs w:val="24"/>
        </w:rPr>
      </w:pPr>
      <w:r>
        <w:rPr>
          <w:sz w:val="24"/>
          <w:szCs w:val="24"/>
        </w:rPr>
        <w:t>1</w:t>
      </w:r>
      <w:r w:rsidR="00BF6E57">
        <w:rPr>
          <w:sz w:val="24"/>
          <w:szCs w:val="24"/>
        </w:rPr>
        <w:t xml:space="preserve"> </w:t>
      </w:r>
      <w:r>
        <w:rPr>
          <w:sz w:val="24"/>
          <w:szCs w:val="24"/>
        </w:rPr>
        <w:t>- Leur action sur le protozoaire de la malaria est lié</w:t>
      </w:r>
      <w:r w:rsidR="00CD0F0F">
        <w:rPr>
          <w:sz w:val="24"/>
          <w:szCs w:val="24"/>
        </w:rPr>
        <w:t>e</w:t>
      </w:r>
      <w:r>
        <w:rPr>
          <w:sz w:val="24"/>
          <w:szCs w:val="24"/>
        </w:rPr>
        <w:t xml:space="preserve"> à une concentration dans les hématies parasitées. Elle se lierait avec la </w:t>
      </w:r>
      <w:proofErr w:type="spellStart"/>
      <w:r>
        <w:rPr>
          <w:sz w:val="24"/>
          <w:szCs w:val="24"/>
        </w:rPr>
        <w:t>ferritoporphyrine</w:t>
      </w:r>
      <w:proofErr w:type="spellEnd"/>
      <w:r>
        <w:rPr>
          <w:sz w:val="24"/>
          <w:szCs w:val="24"/>
        </w:rPr>
        <w:t xml:space="preserve"> IX, métabolite de la formation de l’hémoglobine, pour produire un complexe toxique pour le parasite.</w:t>
      </w:r>
    </w:p>
    <w:p w:rsidR="00BF725C" w:rsidRDefault="00BF725C" w:rsidP="00992B01">
      <w:pPr>
        <w:spacing w:after="0"/>
        <w:rPr>
          <w:sz w:val="24"/>
          <w:szCs w:val="24"/>
        </w:rPr>
      </w:pPr>
      <w:r>
        <w:rPr>
          <w:sz w:val="24"/>
          <w:szCs w:val="24"/>
        </w:rPr>
        <w:t>3 – Leur action sur les connectivites (5) le lupus entre autres</w:t>
      </w:r>
      <w:r w:rsidR="00D70465">
        <w:rPr>
          <w:sz w:val="24"/>
          <w:szCs w:val="24"/>
        </w:rPr>
        <w:t xml:space="preserve">, est </w:t>
      </w:r>
      <w:proofErr w:type="gramStart"/>
      <w:r w:rsidR="00D70465">
        <w:rPr>
          <w:sz w:val="24"/>
          <w:szCs w:val="24"/>
        </w:rPr>
        <w:t>due</w:t>
      </w:r>
      <w:proofErr w:type="gramEnd"/>
      <w:r w:rsidR="00D70465">
        <w:rPr>
          <w:sz w:val="24"/>
          <w:szCs w:val="24"/>
        </w:rPr>
        <w:t xml:space="preserve"> à un pouvoir </w:t>
      </w:r>
      <w:proofErr w:type="spellStart"/>
      <w:r w:rsidR="00D70465">
        <w:rPr>
          <w:sz w:val="24"/>
          <w:szCs w:val="24"/>
        </w:rPr>
        <w:t>anti-tnf</w:t>
      </w:r>
      <w:proofErr w:type="spellEnd"/>
      <w:r w:rsidR="00D70465">
        <w:rPr>
          <w:sz w:val="24"/>
          <w:szCs w:val="24"/>
        </w:rPr>
        <w:t xml:space="preserve"> (</w:t>
      </w:r>
      <w:proofErr w:type="spellStart"/>
      <w:r w:rsidR="00D70465">
        <w:rPr>
          <w:sz w:val="24"/>
          <w:szCs w:val="24"/>
        </w:rPr>
        <w:t>tumor</w:t>
      </w:r>
      <w:proofErr w:type="spellEnd"/>
      <w:r w:rsidR="00D70465">
        <w:rPr>
          <w:sz w:val="24"/>
          <w:szCs w:val="24"/>
        </w:rPr>
        <w:t xml:space="preserve"> </w:t>
      </w:r>
      <w:proofErr w:type="spellStart"/>
      <w:r w:rsidR="00D70465">
        <w:rPr>
          <w:sz w:val="24"/>
          <w:szCs w:val="24"/>
        </w:rPr>
        <w:t>necrosis</w:t>
      </w:r>
      <w:proofErr w:type="spellEnd"/>
      <w:r w:rsidR="00D70465">
        <w:rPr>
          <w:sz w:val="24"/>
          <w:szCs w:val="24"/>
        </w:rPr>
        <w:t xml:space="preserve"> factor) inhibiteur de l’interleukine-6. C’est ce que l’on désigne sous l’appellation globale de son pouvoir anti-inflammatoire.</w:t>
      </w:r>
    </w:p>
    <w:p w:rsidR="0008287C" w:rsidRDefault="0008287C" w:rsidP="00992B01">
      <w:pPr>
        <w:spacing w:after="0"/>
        <w:rPr>
          <w:sz w:val="24"/>
          <w:szCs w:val="24"/>
        </w:rPr>
      </w:pPr>
    </w:p>
    <w:p w:rsidR="0008287C" w:rsidRDefault="005767F5" w:rsidP="00992B01">
      <w:pPr>
        <w:spacing w:after="0"/>
        <w:rPr>
          <w:sz w:val="24"/>
          <w:szCs w:val="24"/>
        </w:rPr>
      </w:pPr>
      <w:r>
        <w:rPr>
          <w:sz w:val="24"/>
          <w:szCs w:val="24"/>
        </w:rPr>
        <w:lastRenderedPageBreak/>
        <w:t>Ce pouvoir anti-inflammatoire serait la clé de l’action anti COVID-19 de la CHQ et de la CHQ-oh. On a vu en effet que la réaction inflammatoire contre le virus est la phase la plus toxique de la maladie. Cette action passe par un pouvoir anti interleukine 1 et 6.</w:t>
      </w:r>
    </w:p>
    <w:p w:rsidR="005767F5" w:rsidRDefault="005767F5" w:rsidP="00992B01">
      <w:pPr>
        <w:spacing w:after="0"/>
        <w:rPr>
          <w:sz w:val="24"/>
          <w:szCs w:val="24"/>
        </w:rPr>
      </w:pPr>
      <w:r>
        <w:rPr>
          <w:sz w:val="24"/>
          <w:szCs w:val="24"/>
        </w:rPr>
        <w:t xml:space="preserve">Le grand pouvoir de pénétration </w:t>
      </w:r>
      <w:r w:rsidR="000E0707">
        <w:rPr>
          <w:sz w:val="24"/>
          <w:szCs w:val="24"/>
        </w:rPr>
        <w:t>intracellulaire</w:t>
      </w:r>
      <w:r>
        <w:rPr>
          <w:sz w:val="24"/>
          <w:szCs w:val="24"/>
        </w:rPr>
        <w:t xml:space="preserve"> de ces deux médicaments est de nature à bloquer la fixation du virus sur l’ACE 2.</w:t>
      </w:r>
    </w:p>
    <w:p w:rsidR="00CD0F0F" w:rsidRDefault="00CD0F0F" w:rsidP="00992B01">
      <w:pPr>
        <w:spacing w:after="0"/>
        <w:rPr>
          <w:sz w:val="24"/>
          <w:szCs w:val="24"/>
        </w:rPr>
      </w:pPr>
      <w:r>
        <w:rPr>
          <w:sz w:val="24"/>
          <w:szCs w:val="24"/>
        </w:rPr>
        <w:t xml:space="preserve">Le pouvoir anticovid-19 de ces substances est donc possible bien </w:t>
      </w:r>
      <w:r w:rsidR="00740EE8">
        <w:rPr>
          <w:sz w:val="24"/>
          <w:szCs w:val="24"/>
        </w:rPr>
        <w:t>qu’en</w:t>
      </w:r>
      <w:r>
        <w:rPr>
          <w:sz w:val="24"/>
          <w:szCs w:val="24"/>
        </w:rPr>
        <w:t xml:space="preserve"> clinique, m</w:t>
      </w:r>
      <w:r w:rsidR="00740EE8">
        <w:rPr>
          <w:sz w:val="24"/>
          <w:szCs w:val="24"/>
        </w:rPr>
        <w:t xml:space="preserve">ême si on </w:t>
      </w:r>
      <w:r>
        <w:rPr>
          <w:sz w:val="24"/>
          <w:szCs w:val="24"/>
        </w:rPr>
        <w:t>a observé une diminution de la charge en virus, il y</w:t>
      </w:r>
      <w:r w:rsidR="00740EE8">
        <w:rPr>
          <w:sz w:val="24"/>
          <w:szCs w:val="24"/>
        </w:rPr>
        <w:t xml:space="preserve"> </w:t>
      </w:r>
      <w:r>
        <w:rPr>
          <w:sz w:val="24"/>
          <w:szCs w:val="24"/>
        </w:rPr>
        <w:t>a peu d’effets cliniques.</w:t>
      </w:r>
    </w:p>
    <w:p w:rsidR="008E565F" w:rsidRDefault="008E565F" w:rsidP="00992B01">
      <w:pPr>
        <w:spacing w:after="0"/>
        <w:rPr>
          <w:sz w:val="24"/>
          <w:szCs w:val="24"/>
        </w:rPr>
      </w:pPr>
      <w:r>
        <w:rPr>
          <w:sz w:val="24"/>
          <w:szCs w:val="24"/>
        </w:rPr>
        <w:t>Les effets secondaires sont bien connus : le principal est l’allongement de l’espace QT de l’électrocardiogramme avec un risque de bra</w:t>
      </w:r>
      <w:r w:rsidR="007717C1">
        <w:rPr>
          <w:sz w:val="24"/>
          <w:szCs w:val="24"/>
        </w:rPr>
        <w:t xml:space="preserve">dycardie qui en cas d’intoxication peut aller jusqu’à la torsade </w:t>
      </w:r>
      <w:r w:rsidR="007E5A73">
        <w:rPr>
          <w:sz w:val="24"/>
          <w:szCs w:val="24"/>
        </w:rPr>
        <w:t xml:space="preserve">de </w:t>
      </w:r>
      <w:r w:rsidR="007717C1">
        <w:rPr>
          <w:sz w:val="24"/>
          <w:szCs w:val="24"/>
        </w:rPr>
        <w:t>pointe très grave. Mais à la dose de 200 mg/j utilisée dans les indications conventionnelles</w:t>
      </w:r>
      <w:r w:rsidR="00E41D09">
        <w:rPr>
          <w:sz w:val="24"/>
          <w:szCs w:val="24"/>
        </w:rPr>
        <w:t xml:space="preserve"> depuis des décennies</w:t>
      </w:r>
      <w:r w:rsidR="007717C1">
        <w:rPr>
          <w:sz w:val="24"/>
          <w:szCs w:val="24"/>
        </w:rPr>
        <w:t>, cet effet secondaire est négligeable.</w:t>
      </w:r>
    </w:p>
    <w:p w:rsidR="0055102F" w:rsidRDefault="0055102F" w:rsidP="00992B01">
      <w:pPr>
        <w:spacing w:after="0"/>
        <w:rPr>
          <w:sz w:val="24"/>
          <w:szCs w:val="24"/>
        </w:rPr>
      </w:pPr>
      <w:r>
        <w:rPr>
          <w:sz w:val="24"/>
          <w:szCs w:val="24"/>
        </w:rPr>
        <w:t>Il faut aussi rappeler un risque pour les patients atteints de DLMA</w:t>
      </w:r>
      <w:r>
        <w:rPr>
          <w:rStyle w:val="Appelnotedebasdep"/>
          <w:sz w:val="24"/>
          <w:szCs w:val="24"/>
        </w:rPr>
        <w:footnoteReference w:id="2"/>
      </w:r>
      <w:r>
        <w:rPr>
          <w:sz w:val="24"/>
          <w:szCs w:val="24"/>
        </w:rPr>
        <w:t xml:space="preserve"> dû à l’accumulation</w:t>
      </w:r>
      <w:r w:rsidR="00C358EE">
        <w:rPr>
          <w:sz w:val="24"/>
          <w:szCs w:val="24"/>
        </w:rPr>
        <w:t xml:space="preserve"> dans la rétine et un risque d’</w:t>
      </w:r>
      <w:r w:rsidR="007E5A73">
        <w:rPr>
          <w:sz w:val="24"/>
          <w:szCs w:val="24"/>
        </w:rPr>
        <w:t>hypokaliémie</w:t>
      </w:r>
      <w:r w:rsidR="00C358EE">
        <w:rPr>
          <w:sz w:val="24"/>
          <w:szCs w:val="24"/>
        </w:rPr>
        <w:t>.</w:t>
      </w:r>
    </w:p>
    <w:p w:rsidR="00740EE8" w:rsidRDefault="00740EE8" w:rsidP="00992B01">
      <w:pPr>
        <w:spacing w:after="0"/>
        <w:rPr>
          <w:sz w:val="24"/>
          <w:szCs w:val="24"/>
        </w:rPr>
      </w:pPr>
    </w:p>
    <w:p w:rsidR="00740EE8" w:rsidRDefault="00740EE8" w:rsidP="00992B01">
      <w:pPr>
        <w:spacing w:after="0"/>
        <w:rPr>
          <w:sz w:val="24"/>
          <w:szCs w:val="24"/>
        </w:rPr>
      </w:pPr>
      <w:r>
        <w:rPr>
          <w:sz w:val="24"/>
          <w:szCs w:val="24"/>
        </w:rPr>
        <w:t>L’équipe du professeur Raoult de Marseille a été la première à préconiser ce traitement. Mais il a été vivement critiqué pour n’avoir publié que de très petites séries au début et sans groupe contrôle. Depuis l’expérience a été reprise par son équipe et par d’autres dans le monde avec des résultats favorables sans être indiscutables.</w:t>
      </w:r>
    </w:p>
    <w:p w:rsidR="00740EE8" w:rsidRDefault="00740EE8" w:rsidP="00992B01">
      <w:pPr>
        <w:spacing w:after="0"/>
        <w:rPr>
          <w:sz w:val="24"/>
          <w:szCs w:val="24"/>
        </w:rPr>
      </w:pPr>
      <w:r>
        <w:rPr>
          <w:sz w:val="24"/>
          <w:szCs w:val="24"/>
        </w:rPr>
        <w:t xml:space="preserve">Récemment une vaste étude parue dans le « Lancet » </w:t>
      </w:r>
      <w:r w:rsidR="008E565F">
        <w:rPr>
          <w:sz w:val="24"/>
          <w:szCs w:val="24"/>
        </w:rPr>
        <w:t>(6) qui fait le bilan de 96.000 patients rép</w:t>
      </w:r>
      <w:r w:rsidR="0055102F">
        <w:rPr>
          <w:sz w:val="24"/>
          <w:szCs w:val="24"/>
        </w:rPr>
        <w:t>artis dans 671 hôpitaux trouve</w:t>
      </w:r>
      <w:r w:rsidR="008E565F">
        <w:rPr>
          <w:sz w:val="24"/>
          <w:szCs w:val="24"/>
        </w:rPr>
        <w:t xml:space="preserve"> que ces deux drogues aggraveraient le pronos</w:t>
      </w:r>
      <w:r w:rsidR="007E5A73">
        <w:rPr>
          <w:sz w:val="24"/>
          <w:szCs w:val="24"/>
        </w:rPr>
        <w:t>tic surtout associées à de l’</w:t>
      </w:r>
      <w:proofErr w:type="spellStart"/>
      <w:r w:rsidR="007E5A73">
        <w:rPr>
          <w:sz w:val="24"/>
          <w:szCs w:val="24"/>
        </w:rPr>
        <w:t>azi</w:t>
      </w:r>
      <w:r w:rsidR="008E565F">
        <w:rPr>
          <w:sz w:val="24"/>
          <w:szCs w:val="24"/>
        </w:rPr>
        <w:t>thromycine</w:t>
      </w:r>
      <w:proofErr w:type="spellEnd"/>
      <w:r w:rsidR="008E565F">
        <w:rPr>
          <w:sz w:val="24"/>
          <w:szCs w:val="24"/>
        </w:rPr>
        <w:t xml:space="preserve">. </w:t>
      </w:r>
      <w:r w:rsidR="007717C1">
        <w:rPr>
          <w:sz w:val="24"/>
          <w:szCs w:val="24"/>
        </w:rPr>
        <w:t xml:space="preserve">Mais il faut relever que dans </w:t>
      </w:r>
      <w:r w:rsidR="0055102F">
        <w:rPr>
          <w:sz w:val="24"/>
          <w:szCs w:val="24"/>
        </w:rPr>
        <w:t xml:space="preserve">cette </w:t>
      </w:r>
      <w:r w:rsidR="007717C1">
        <w:rPr>
          <w:sz w:val="24"/>
          <w:szCs w:val="24"/>
        </w:rPr>
        <w:t xml:space="preserve">indication les doses sont 3 à 4 fois supérieures et qu’elles </w:t>
      </w:r>
      <w:r w:rsidR="0055102F">
        <w:rPr>
          <w:sz w:val="24"/>
          <w:szCs w:val="24"/>
        </w:rPr>
        <w:t>doivent</w:t>
      </w:r>
      <w:r w:rsidR="007717C1">
        <w:rPr>
          <w:sz w:val="24"/>
          <w:szCs w:val="24"/>
        </w:rPr>
        <w:t xml:space="preserve"> </w:t>
      </w:r>
      <w:r w:rsidR="0055102F">
        <w:rPr>
          <w:sz w:val="24"/>
          <w:szCs w:val="24"/>
        </w:rPr>
        <w:t xml:space="preserve">parfois </w:t>
      </w:r>
      <w:r w:rsidR="007717C1">
        <w:rPr>
          <w:sz w:val="24"/>
          <w:szCs w:val="24"/>
        </w:rPr>
        <w:t xml:space="preserve">concerner des patients fragilisés par leur grand âge et des traitement déjà </w:t>
      </w:r>
      <w:proofErr w:type="spellStart"/>
      <w:r w:rsidR="007717C1">
        <w:rPr>
          <w:sz w:val="24"/>
          <w:szCs w:val="24"/>
        </w:rPr>
        <w:t>bradycardisants</w:t>
      </w:r>
      <w:proofErr w:type="spellEnd"/>
      <w:r w:rsidR="007717C1">
        <w:rPr>
          <w:sz w:val="24"/>
          <w:szCs w:val="24"/>
        </w:rPr>
        <w:t xml:space="preserve">, comme les </w:t>
      </w:r>
      <w:r w:rsidR="007717C1">
        <w:rPr>
          <w:rFonts w:ascii="Candara" w:hAnsi="Candara"/>
          <w:sz w:val="24"/>
          <w:szCs w:val="24"/>
        </w:rPr>
        <w:t>β</w:t>
      </w:r>
      <w:r w:rsidR="007717C1">
        <w:rPr>
          <w:sz w:val="24"/>
          <w:szCs w:val="24"/>
        </w:rPr>
        <w:t xml:space="preserve">-bloquants. Cette étude </w:t>
      </w:r>
      <w:r w:rsidR="0055102F">
        <w:rPr>
          <w:sz w:val="24"/>
          <w:szCs w:val="24"/>
        </w:rPr>
        <w:t>après</w:t>
      </w:r>
      <w:r w:rsidR="007717C1">
        <w:rPr>
          <w:sz w:val="24"/>
          <w:szCs w:val="24"/>
        </w:rPr>
        <w:t xml:space="preserve"> avoir causé une vague de </w:t>
      </w:r>
      <w:r w:rsidR="0055102F">
        <w:rPr>
          <w:sz w:val="24"/>
          <w:szCs w:val="24"/>
        </w:rPr>
        <w:t>scepticisme</w:t>
      </w:r>
      <w:r w:rsidR="007717C1">
        <w:rPr>
          <w:sz w:val="24"/>
          <w:szCs w:val="24"/>
        </w:rPr>
        <w:t xml:space="preserve"> a été invalidée par la revue « Lancet »</w:t>
      </w:r>
      <w:r w:rsidR="0055102F">
        <w:rPr>
          <w:sz w:val="24"/>
          <w:szCs w:val="24"/>
        </w:rPr>
        <w:t xml:space="preserve"> elle-</w:t>
      </w:r>
      <w:r w:rsidR="007717C1">
        <w:rPr>
          <w:sz w:val="24"/>
          <w:szCs w:val="24"/>
        </w:rPr>
        <w:t xml:space="preserve">même </w:t>
      </w:r>
      <w:r w:rsidR="00BF6E57">
        <w:rPr>
          <w:sz w:val="24"/>
          <w:szCs w:val="24"/>
        </w:rPr>
        <w:t>et les essais ont repris avec l’appui de l’OMS.</w:t>
      </w:r>
    </w:p>
    <w:p w:rsidR="00E41D09" w:rsidRDefault="00E41D09" w:rsidP="00992B01">
      <w:pPr>
        <w:spacing w:after="0"/>
        <w:rPr>
          <w:sz w:val="24"/>
          <w:szCs w:val="24"/>
        </w:rPr>
      </w:pPr>
    </w:p>
    <w:p w:rsidR="00E41D09" w:rsidRDefault="00C6703D" w:rsidP="00E41D09">
      <w:pPr>
        <w:spacing w:after="0"/>
        <w:jc w:val="center"/>
        <w:rPr>
          <w:b/>
          <w:sz w:val="28"/>
          <w:szCs w:val="28"/>
        </w:rPr>
      </w:pPr>
      <w:r>
        <w:rPr>
          <w:b/>
          <w:sz w:val="28"/>
          <w:szCs w:val="28"/>
        </w:rPr>
        <w:t>Association à l’</w:t>
      </w:r>
      <w:proofErr w:type="spellStart"/>
      <w:r>
        <w:rPr>
          <w:b/>
          <w:sz w:val="28"/>
          <w:szCs w:val="28"/>
        </w:rPr>
        <w:t>azi</w:t>
      </w:r>
      <w:r w:rsidR="00E41D09">
        <w:rPr>
          <w:b/>
          <w:sz w:val="28"/>
          <w:szCs w:val="28"/>
        </w:rPr>
        <w:t>thromycine</w:t>
      </w:r>
      <w:proofErr w:type="spellEnd"/>
    </w:p>
    <w:p w:rsidR="00E41D09" w:rsidRDefault="00E41D09" w:rsidP="00E41D09">
      <w:pPr>
        <w:spacing w:after="0"/>
        <w:jc w:val="center"/>
        <w:rPr>
          <w:b/>
          <w:sz w:val="28"/>
          <w:szCs w:val="28"/>
        </w:rPr>
      </w:pPr>
    </w:p>
    <w:p w:rsidR="00E41D09" w:rsidRDefault="00E41D09" w:rsidP="00E41D09">
      <w:pPr>
        <w:spacing w:after="0"/>
        <w:rPr>
          <w:sz w:val="24"/>
          <w:szCs w:val="24"/>
        </w:rPr>
      </w:pPr>
      <w:r w:rsidRPr="00E41D09">
        <w:rPr>
          <w:sz w:val="24"/>
          <w:szCs w:val="24"/>
        </w:rPr>
        <w:t xml:space="preserve">Depuis </w:t>
      </w:r>
      <w:r>
        <w:rPr>
          <w:sz w:val="24"/>
          <w:szCs w:val="24"/>
        </w:rPr>
        <w:t>le début de ses essais, le Pr Raoult et son équipe</w:t>
      </w:r>
      <w:r w:rsidR="002C3890">
        <w:rPr>
          <w:sz w:val="24"/>
          <w:szCs w:val="24"/>
        </w:rPr>
        <w:t xml:space="preserve"> (7)</w:t>
      </w:r>
      <w:r>
        <w:rPr>
          <w:sz w:val="24"/>
          <w:szCs w:val="24"/>
        </w:rPr>
        <w:t>, suivis par d’autres auteurs, ont ass</w:t>
      </w:r>
      <w:r w:rsidR="007E5A73">
        <w:rPr>
          <w:sz w:val="24"/>
          <w:szCs w:val="24"/>
        </w:rPr>
        <w:t>ocié la CHQ et la CHQ-oh à l’</w:t>
      </w:r>
      <w:proofErr w:type="spellStart"/>
      <w:r w:rsidR="007E5A73">
        <w:rPr>
          <w:sz w:val="24"/>
          <w:szCs w:val="24"/>
        </w:rPr>
        <w:t>azit</w:t>
      </w:r>
      <w:r>
        <w:rPr>
          <w:sz w:val="24"/>
          <w:szCs w:val="24"/>
        </w:rPr>
        <w:t>hromycine</w:t>
      </w:r>
      <w:proofErr w:type="spellEnd"/>
      <w:r>
        <w:rPr>
          <w:sz w:val="24"/>
          <w:szCs w:val="24"/>
        </w:rPr>
        <w:t>, un antibiotique de la famille des macrolides. Ce choix repose sur deux mécanismes possibles :</w:t>
      </w:r>
    </w:p>
    <w:p w:rsidR="00E41D09" w:rsidRDefault="00E41D09" w:rsidP="00E41D09">
      <w:pPr>
        <w:spacing w:after="0"/>
        <w:rPr>
          <w:sz w:val="24"/>
          <w:szCs w:val="24"/>
        </w:rPr>
      </w:pPr>
      <w:r>
        <w:rPr>
          <w:sz w:val="24"/>
          <w:szCs w:val="24"/>
        </w:rPr>
        <w:t>1 – ce macrolide est actif contre la plupart des germes présents dans le</w:t>
      </w:r>
      <w:r w:rsidR="007E5A73">
        <w:rPr>
          <w:sz w:val="24"/>
          <w:szCs w:val="24"/>
        </w:rPr>
        <w:t>s</w:t>
      </w:r>
      <w:r>
        <w:rPr>
          <w:sz w:val="24"/>
          <w:szCs w:val="24"/>
        </w:rPr>
        <w:t xml:space="preserve"> voies respiratoires et assure dès lors une certaine couverture contre les surinfections ;</w:t>
      </w:r>
    </w:p>
    <w:p w:rsidR="00E41D09" w:rsidRDefault="00E41D09" w:rsidP="00E41D09">
      <w:pPr>
        <w:spacing w:after="0"/>
        <w:rPr>
          <w:sz w:val="24"/>
          <w:szCs w:val="24"/>
        </w:rPr>
      </w:pPr>
      <w:r>
        <w:rPr>
          <w:sz w:val="24"/>
          <w:szCs w:val="24"/>
        </w:rPr>
        <w:t>2 – il est possible qu’</w:t>
      </w:r>
      <w:r w:rsidR="002C3890">
        <w:rPr>
          <w:sz w:val="24"/>
          <w:szCs w:val="24"/>
        </w:rPr>
        <w:t>il possède une action antivirale tel</w:t>
      </w:r>
      <w:r w:rsidR="00BF6E57">
        <w:rPr>
          <w:sz w:val="24"/>
          <w:szCs w:val="24"/>
        </w:rPr>
        <w:t>le</w:t>
      </w:r>
      <w:r w:rsidR="002C3890">
        <w:rPr>
          <w:sz w:val="24"/>
          <w:szCs w:val="24"/>
        </w:rPr>
        <w:t xml:space="preserve"> que cela a été étudié dans la défense contre l’infection due au rhinovirus RV16 (8). Il stimule la production d’interféron </w:t>
      </w:r>
      <w:r w:rsidR="00C358EE">
        <w:rPr>
          <w:sz w:val="24"/>
          <w:szCs w:val="24"/>
        </w:rPr>
        <w:t>dont on sait le rôle dans la défense contre la présence d’un ARN étranger, donc un virus.</w:t>
      </w:r>
    </w:p>
    <w:p w:rsidR="00C358EE" w:rsidRDefault="00C358EE" w:rsidP="00E41D09">
      <w:pPr>
        <w:spacing w:after="0"/>
        <w:rPr>
          <w:sz w:val="24"/>
          <w:szCs w:val="24"/>
        </w:rPr>
      </w:pPr>
    </w:p>
    <w:p w:rsidR="00104268" w:rsidRDefault="00104268" w:rsidP="00C358EE">
      <w:pPr>
        <w:spacing w:after="0"/>
        <w:jc w:val="center"/>
        <w:rPr>
          <w:b/>
          <w:sz w:val="28"/>
          <w:szCs w:val="28"/>
        </w:rPr>
      </w:pPr>
    </w:p>
    <w:p w:rsidR="00104268" w:rsidRDefault="00104268" w:rsidP="00C358EE">
      <w:pPr>
        <w:spacing w:after="0"/>
        <w:jc w:val="center"/>
        <w:rPr>
          <w:b/>
          <w:sz w:val="28"/>
          <w:szCs w:val="28"/>
        </w:rPr>
      </w:pPr>
    </w:p>
    <w:p w:rsidR="00C358EE" w:rsidRDefault="00C358EE" w:rsidP="00C358EE">
      <w:pPr>
        <w:spacing w:after="0"/>
        <w:jc w:val="center"/>
        <w:rPr>
          <w:b/>
          <w:sz w:val="28"/>
          <w:szCs w:val="28"/>
        </w:rPr>
      </w:pPr>
      <w:r>
        <w:rPr>
          <w:b/>
          <w:sz w:val="28"/>
          <w:szCs w:val="28"/>
        </w:rPr>
        <w:lastRenderedPageBreak/>
        <w:t>Conclusions provisoires</w:t>
      </w:r>
    </w:p>
    <w:p w:rsidR="00C358EE" w:rsidRDefault="00C358EE" w:rsidP="00C358EE">
      <w:pPr>
        <w:spacing w:after="0"/>
        <w:jc w:val="center"/>
        <w:rPr>
          <w:b/>
          <w:sz w:val="28"/>
          <w:szCs w:val="28"/>
        </w:rPr>
      </w:pPr>
    </w:p>
    <w:p w:rsidR="00C358EE" w:rsidRDefault="00C358EE" w:rsidP="00C358EE">
      <w:pPr>
        <w:spacing w:after="0"/>
        <w:rPr>
          <w:sz w:val="24"/>
          <w:szCs w:val="24"/>
        </w:rPr>
      </w:pPr>
      <w:r>
        <w:rPr>
          <w:sz w:val="24"/>
          <w:szCs w:val="24"/>
        </w:rPr>
        <w:t>Il existe assez d’indicatif</w:t>
      </w:r>
      <w:r w:rsidR="00104268">
        <w:rPr>
          <w:sz w:val="24"/>
          <w:szCs w:val="24"/>
        </w:rPr>
        <w:t>s</w:t>
      </w:r>
      <w:r>
        <w:rPr>
          <w:sz w:val="24"/>
          <w:szCs w:val="24"/>
        </w:rPr>
        <w:t xml:space="preserve"> suggérant, au moins théoriquement, une possible action anti-COVOD-19 de l</w:t>
      </w:r>
      <w:r w:rsidR="00E82374">
        <w:rPr>
          <w:sz w:val="24"/>
          <w:szCs w:val="24"/>
        </w:rPr>
        <w:t>a CHQ et de la CHQ-oh associée o</w:t>
      </w:r>
      <w:r>
        <w:rPr>
          <w:sz w:val="24"/>
          <w:szCs w:val="24"/>
        </w:rPr>
        <w:t>u non à l’</w:t>
      </w:r>
      <w:proofErr w:type="spellStart"/>
      <w:r>
        <w:rPr>
          <w:sz w:val="24"/>
          <w:szCs w:val="24"/>
        </w:rPr>
        <w:t>azithromycine</w:t>
      </w:r>
      <w:proofErr w:type="spellEnd"/>
      <w:r>
        <w:rPr>
          <w:sz w:val="24"/>
          <w:szCs w:val="24"/>
        </w:rPr>
        <w:t>.</w:t>
      </w:r>
    </w:p>
    <w:p w:rsidR="00C358EE" w:rsidRPr="00C358EE" w:rsidRDefault="00C358EE" w:rsidP="00C358EE">
      <w:pPr>
        <w:spacing w:after="0"/>
        <w:rPr>
          <w:sz w:val="24"/>
          <w:szCs w:val="24"/>
        </w:rPr>
      </w:pPr>
      <w:r>
        <w:rPr>
          <w:sz w:val="24"/>
          <w:szCs w:val="24"/>
        </w:rPr>
        <w:t>Les effets secondaires observés</w:t>
      </w:r>
      <w:r w:rsidR="00104268">
        <w:rPr>
          <w:sz w:val="24"/>
          <w:szCs w:val="24"/>
        </w:rPr>
        <w:t xml:space="preserve"> dans</w:t>
      </w:r>
      <w:r>
        <w:rPr>
          <w:sz w:val="24"/>
          <w:szCs w:val="24"/>
        </w:rPr>
        <w:t xml:space="preserve"> certaines études pourraient </w:t>
      </w:r>
      <w:r w:rsidR="00104268">
        <w:rPr>
          <w:sz w:val="24"/>
          <w:szCs w:val="24"/>
        </w:rPr>
        <w:t xml:space="preserve">être dus à </w:t>
      </w:r>
      <w:r w:rsidR="008E4FA9">
        <w:rPr>
          <w:sz w:val="24"/>
          <w:szCs w:val="24"/>
        </w:rPr>
        <w:t>l’emploi de doses plus importantes, 2 à 3 fois l</w:t>
      </w:r>
      <w:r w:rsidR="00BF21F0">
        <w:rPr>
          <w:sz w:val="24"/>
          <w:szCs w:val="24"/>
        </w:rPr>
        <w:t xml:space="preserve">a </w:t>
      </w:r>
      <w:r w:rsidR="008E4FA9">
        <w:rPr>
          <w:sz w:val="24"/>
          <w:szCs w:val="24"/>
        </w:rPr>
        <w:t xml:space="preserve">dose habituelle et </w:t>
      </w:r>
      <w:r w:rsidR="00104268">
        <w:rPr>
          <w:sz w:val="24"/>
          <w:szCs w:val="24"/>
        </w:rPr>
        <w:t>une mauvaise</w:t>
      </w:r>
      <w:r>
        <w:rPr>
          <w:sz w:val="24"/>
          <w:szCs w:val="24"/>
        </w:rPr>
        <w:t xml:space="preserve"> sélection des </w:t>
      </w:r>
      <w:r w:rsidR="00104268">
        <w:rPr>
          <w:sz w:val="24"/>
          <w:szCs w:val="24"/>
        </w:rPr>
        <w:t>patients</w:t>
      </w:r>
      <w:r>
        <w:rPr>
          <w:sz w:val="24"/>
          <w:szCs w:val="24"/>
        </w:rPr>
        <w:t>, surtout ceux qui sont plus âgé</w:t>
      </w:r>
      <w:r w:rsidR="008C4F1A">
        <w:rPr>
          <w:sz w:val="24"/>
          <w:szCs w:val="24"/>
        </w:rPr>
        <w:t>s</w:t>
      </w:r>
      <w:r>
        <w:rPr>
          <w:sz w:val="24"/>
          <w:szCs w:val="24"/>
        </w:rPr>
        <w:t xml:space="preserve"> et </w:t>
      </w:r>
      <w:r w:rsidR="00104268">
        <w:rPr>
          <w:sz w:val="24"/>
          <w:szCs w:val="24"/>
        </w:rPr>
        <w:t xml:space="preserve">clairement plus fragiles à </w:t>
      </w:r>
      <w:r>
        <w:rPr>
          <w:sz w:val="24"/>
          <w:szCs w:val="24"/>
        </w:rPr>
        <w:t xml:space="preserve"> l’</w:t>
      </w:r>
      <w:r w:rsidR="00104268">
        <w:rPr>
          <w:sz w:val="24"/>
          <w:szCs w:val="24"/>
        </w:rPr>
        <w:t>infection comme plus exposés aux</w:t>
      </w:r>
      <w:r>
        <w:rPr>
          <w:sz w:val="24"/>
          <w:szCs w:val="24"/>
        </w:rPr>
        <w:t xml:space="preserve"> effets </w:t>
      </w:r>
      <w:r w:rsidR="00104268">
        <w:rPr>
          <w:sz w:val="24"/>
          <w:szCs w:val="24"/>
        </w:rPr>
        <w:t>secondaires</w:t>
      </w:r>
      <w:r>
        <w:rPr>
          <w:sz w:val="24"/>
          <w:szCs w:val="24"/>
        </w:rPr>
        <w:t xml:space="preserve"> des médicaments</w:t>
      </w:r>
      <w:r w:rsidR="00104268">
        <w:rPr>
          <w:sz w:val="24"/>
          <w:szCs w:val="24"/>
        </w:rPr>
        <w:t>.</w:t>
      </w:r>
    </w:p>
    <w:p w:rsidR="00E41D09" w:rsidRDefault="00104268" w:rsidP="00E41D09">
      <w:pPr>
        <w:spacing w:after="0"/>
        <w:rPr>
          <w:sz w:val="24"/>
          <w:szCs w:val="24"/>
        </w:rPr>
      </w:pPr>
      <w:r>
        <w:rPr>
          <w:sz w:val="24"/>
          <w:szCs w:val="24"/>
        </w:rPr>
        <w:t>Ces traitements ont toutefois un atout : ils sont peu onéreux et faciles à produire si on en croit les industriels. Il est aussi très possible qu’ils soient plus efficaces utilisés au début de l’affection, mais qu’</w:t>
      </w:r>
      <w:r w:rsidR="00B12621">
        <w:rPr>
          <w:sz w:val="24"/>
          <w:szCs w:val="24"/>
        </w:rPr>
        <w:t>une fois la phase inflammatoire</w:t>
      </w:r>
      <w:r>
        <w:rPr>
          <w:sz w:val="24"/>
          <w:szCs w:val="24"/>
        </w:rPr>
        <w:t xml:space="preserve"> déclenchée, leur pouvoir </w:t>
      </w:r>
      <w:r w:rsidR="00BF21F0">
        <w:rPr>
          <w:sz w:val="24"/>
          <w:szCs w:val="24"/>
        </w:rPr>
        <w:t>thérapeutique</w:t>
      </w:r>
      <w:r w:rsidR="00E82374">
        <w:rPr>
          <w:sz w:val="24"/>
          <w:szCs w:val="24"/>
        </w:rPr>
        <w:t xml:space="preserve"> soit moins important</w:t>
      </w:r>
      <w:r>
        <w:rPr>
          <w:sz w:val="24"/>
          <w:szCs w:val="24"/>
        </w:rPr>
        <w:t>.</w:t>
      </w:r>
    </w:p>
    <w:p w:rsidR="00F93A92" w:rsidRDefault="00F93A92" w:rsidP="00E41D09">
      <w:pPr>
        <w:spacing w:after="0"/>
        <w:rPr>
          <w:sz w:val="24"/>
          <w:szCs w:val="24"/>
        </w:rPr>
      </w:pPr>
    </w:p>
    <w:p w:rsidR="00F93A92" w:rsidRDefault="00F93A92" w:rsidP="00F93A92">
      <w:pPr>
        <w:spacing w:after="0"/>
        <w:jc w:val="center"/>
        <w:rPr>
          <w:b/>
          <w:sz w:val="28"/>
          <w:szCs w:val="28"/>
        </w:rPr>
      </w:pPr>
      <w:r>
        <w:rPr>
          <w:b/>
          <w:sz w:val="28"/>
          <w:szCs w:val="28"/>
        </w:rPr>
        <w:t xml:space="preserve">Le </w:t>
      </w:r>
      <w:proofErr w:type="spellStart"/>
      <w:r>
        <w:rPr>
          <w:b/>
          <w:sz w:val="28"/>
          <w:szCs w:val="28"/>
        </w:rPr>
        <w:t>remdésivir</w:t>
      </w:r>
      <w:proofErr w:type="spellEnd"/>
    </w:p>
    <w:p w:rsidR="00F93A92" w:rsidRDefault="00F93A92" w:rsidP="00F93A92">
      <w:pPr>
        <w:spacing w:after="0"/>
        <w:jc w:val="center"/>
        <w:rPr>
          <w:b/>
          <w:sz w:val="28"/>
          <w:szCs w:val="28"/>
        </w:rPr>
      </w:pPr>
    </w:p>
    <w:p w:rsidR="00F93A92" w:rsidRPr="00F93A92" w:rsidRDefault="00F93A92" w:rsidP="00F93A92">
      <w:pPr>
        <w:spacing w:after="0"/>
        <w:rPr>
          <w:sz w:val="24"/>
          <w:szCs w:val="24"/>
        </w:rPr>
      </w:pPr>
      <w:r>
        <w:rPr>
          <w:sz w:val="24"/>
          <w:szCs w:val="24"/>
        </w:rPr>
        <w:t>Ce produit qui a été utilisé avec succès en Afrique contre le virus Ebola lors de l’épidémie de 2013-2018 s’est trouvé peut-être actif contre le COVID-19.</w:t>
      </w:r>
    </w:p>
    <w:p w:rsidR="00104268" w:rsidRDefault="00DE417E" w:rsidP="005E2668">
      <w:pPr>
        <w:spacing w:after="0"/>
        <w:jc w:val="center"/>
        <w:rPr>
          <w:sz w:val="24"/>
          <w:szCs w:val="24"/>
        </w:rPr>
      </w:pPr>
      <w:r>
        <w:rPr>
          <w:noProof/>
          <w:sz w:val="24"/>
          <w:szCs w:val="24"/>
          <w:lang w:eastAsia="fr-BE"/>
        </w:rPr>
        <w:drawing>
          <wp:inline distT="0" distB="0" distL="0" distR="0">
            <wp:extent cx="5372100" cy="2799824"/>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d-adenos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79215" cy="2803532"/>
                    </a:xfrm>
                    <a:prstGeom prst="rect">
                      <a:avLst/>
                    </a:prstGeom>
                  </pic:spPr>
                </pic:pic>
              </a:graphicData>
            </a:graphic>
          </wp:inline>
        </w:drawing>
      </w:r>
    </w:p>
    <w:p w:rsidR="00104268" w:rsidRPr="00E41D09" w:rsidRDefault="00104268" w:rsidP="00E41D09">
      <w:pPr>
        <w:spacing w:after="0"/>
        <w:rPr>
          <w:sz w:val="24"/>
          <w:szCs w:val="24"/>
        </w:rPr>
      </w:pPr>
    </w:p>
    <w:p w:rsidR="004B6311" w:rsidRDefault="00DE417E" w:rsidP="00992B01">
      <w:pPr>
        <w:spacing w:after="0"/>
        <w:jc w:val="center"/>
        <w:rPr>
          <w:sz w:val="24"/>
          <w:szCs w:val="24"/>
        </w:rPr>
      </w:pPr>
      <w:r w:rsidRPr="00DE417E">
        <w:rPr>
          <w:sz w:val="24"/>
          <w:szCs w:val="24"/>
        </w:rPr>
        <w:t>F</w:t>
      </w:r>
      <w:r>
        <w:rPr>
          <w:sz w:val="24"/>
          <w:szCs w:val="24"/>
        </w:rPr>
        <w:t>i</w:t>
      </w:r>
      <w:r w:rsidRPr="00DE417E">
        <w:rPr>
          <w:sz w:val="24"/>
          <w:szCs w:val="24"/>
        </w:rPr>
        <w:t xml:space="preserve">gure 4 </w:t>
      </w:r>
      <w:r>
        <w:rPr>
          <w:sz w:val="24"/>
          <w:szCs w:val="24"/>
        </w:rPr>
        <w:t>–</w:t>
      </w:r>
      <w:r w:rsidRPr="00DE417E">
        <w:rPr>
          <w:sz w:val="24"/>
          <w:szCs w:val="24"/>
        </w:rPr>
        <w:t xml:space="preserve"> </w:t>
      </w:r>
      <w:r>
        <w:rPr>
          <w:sz w:val="24"/>
          <w:szCs w:val="24"/>
        </w:rPr>
        <w:t xml:space="preserve">Formules spatiales du </w:t>
      </w:r>
      <w:proofErr w:type="spellStart"/>
      <w:r>
        <w:rPr>
          <w:sz w:val="24"/>
          <w:szCs w:val="24"/>
        </w:rPr>
        <w:t>remdésivir</w:t>
      </w:r>
      <w:proofErr w:type="spellEnd"/>
      <w:r>
        <w:rPr>
          <w:sz w:val="24"/>
          <w:szCs w:val="24"/>
        </w:rPr>
        <w:t xml:space="preserve"> et de l’adénosine</w:t>
      </w:r>
    </w:p>
    <w:p w:rsidR="00DE417E" w:rsidRDefault="00DE417E" w:rsidP="00992B01">
      <w:pPr>
        <w:spacing w:after="0"/>
        <w:jc w:val="center"/>
        <w:rPr>
          <w:sz w:val="24"/>
          <w:szCs w:val="24"/>
        </w:rPr>
      </w:pPr>
    </w:p>
    <w:p w:rsidR="00354DB9" w:rsidRDefault="006329E7" w:rsidP="00DE417E">
      <w:pPr>
        <w:spacing w:after="0"/>
        <w:rPr>
          <w:sz w:val="24"/>
          <w:szCs w:val="24"/>
        </w:rPr>
      </w:pPr>
      <w:r>
        <w:rPr>
          <w:sz w:val="24"/>
          <w:szCs w:val="24"/>
        </w:rPr>
        <w:t xml:space="preserve">C’est donc un dérivé mono phosphate d’un analogue de nucléoside de l’adénine dont on reconnait la structure dans la formule spatiale du </w:t>
      </w:r>
      <w:proofErr w:type="spellStart"/>
      <w:r>
        <w:rPr>
          <w:sz w:val="24"/>
          <w:szCs w:val="24"/>
        </w:rPr>
        <w:t>remdésivir</w:t>
      </w:r>
      <w:proofErr w:type="spellEnd"/>
      <w:r>
        <w:rPr>
          <w:sz w:val="24"/>
          <w:szCs w:val="24"/>
        </w:rPr>
        <w:t xml:space="preserve">. </w:t>
      </w:r>
      <w:r w:rsidR="00354DB9">
        <w:rPr>
          <w:sz w:val="24"/>
          <w:szCs w:val="24"/>
        </w:rPr>
        <w:t>Il perturbe l’ARN polymérase virale et échappe à la correction d’erreurs par l’</w:t>
      </w:r>
      <w:proofErr w:type="spellStart"/>
      <w:r w:rsidR="00354DB9">
        <w:rPr>
          <w:sz w:val="24"/>
          <w:szCs w:val="24"/>
        </w:rPr>
        <w:t>exoribonucléase</w:t>
      </w:r>
      <w:proofErr w:type="spellEnd"/>
      <w:r w:rsidR="00354DB9">
        <w:rPr>
          <w:sz w:val="24"/>
          <w:szCs w:val="24"/>
        </w:rPr>
        <w:t xml:space="preserve"> ce qui ralentit la production d’ARN viral.</w:t>
      </w:r>
    </w:p>
    <w:p w:rsidR="00354DB9" w:rsidRDefault="006329E7" w:rsidP="00DE417E">
      <w:pPr>
        <w:spacing w:after="0"/>
        <w:rPr>
          <w:sz w:val="24"/>
          <w:szCs w:val="24"/>
        </w:rPr>
      </w:pPr>
      <w:r>
        <w:rPr>
          <w:sz w:val="24"/>
          <w:szCs w:val="24"/>
        </w:rPr>
        <w:t xml:space="preserve">In vivo il est actif contre le virus Ebola et in vitro il inhibe de nombreux autres virus. C’est pourquoi </w:t>
      </w:r>
      <w:r w:rsidR="00E82374">
        <w:rPr>
          <w:sz w:val="24"/>
          <w:szCs w:val="24"/>
        </w:rPr>
        <w:t xml:space="preserve">on </w:t>
      </w:r>
      <w:r>
        <w:rPr>
          <w:sz w:val="24"/>
          <w:szCs w:val="24"/>
        </w:rPr>
        <w:t>a pensé à l’essayer contre le COVID-19.</w:t>
      </w:r>
      <w:r w:rsidR="009E780C">
        <w:rPr>
          <w:sz w:val="24"/>
          <w:szCs w:val="24"/>
        </w:rPr>
        <w:t xml:space="preserve"> </w:t>
      </w:r>
      <w:r w:rsidR="00354DB9">
        <w:rPr>
          <w:sz w:val="24"/>
          <w:szCs w:val="24"/>
        </w:rPr>
        <w:t xml:space="preserve">En mars 2020 </w:t>
      </w:r>
      <w:r w:rsidR="008E4389">
        <w:rPr>
          <w:sz w:val="24"/>
          <w:szCs w:val="24"/>
        </w:rPr>
        <w:t xml:space="preserve">le Haut Conseil de </w:t>
      </w:r>
      <w:r w:rsidR="00E82374">
        <w:rPr>
          <w:sz w:val="24"/>
          <w:szCs w:val="24"/>
        </w:rPr>
        <w:t>l</w:t>
      </w:r>
      <w:r w:rsidR="008E4389">
        <w:rPr>
          <w:sz w:val="24"/>
          <w:szCs w:val="24"/>
        </w:rPr>
        <w:t xml:space="preserve">a </w:t>
      </w:r>
      <w:r w:rsidR="008E4389">
        <w:rPr>
          <w:sz w:val="24"/>
          <w:szCs w:val="24"/>
        </w:rPr>
        <w:lastRenderedPageBreak/>
        <w:t>Santé Publique le recommande « à titre compassionnel » pour les cas graves de COVID-19 (9).</w:t>
      </w:r>
    </w:p>
    <w:p w:rsidR="00A65B81" w:rsidRDefault="009E780C" w:rsidP="009E780C">
      <w:pPr>
        <w:spacing w:after="0"/>
        <w:rPr>
          <w:sz w:val="24"/>
          <w:szCs w:val="24"/>
        </w:rPr>
      </w:pPr>
      <w:r>
        <w:rPr>
          <w:sz w:val="24"/>
          <w:szCs w:val="24"/>
        </w:rPr>
        <w:t xml:space="preserve">Dès lors plusieurs essais cliniques sont lancés en </w:t>
      </w:r>
      <w:r w:rsidR="00A65B81">
        <w:rPr>
          <w:sz w:val="24"/>
          <w:szCs w:val="24"/>
        </w:rPr>
        <w:t>France malgré que les autorités</w:t>
      </w:r>
    </w:p>
    <w:p w:rsidR="00A65B81" w:rsidRDefault="00B12621" w:rsidP="009E780C">
      <w:pPr>
        <w:spacing w:after="0"/>
        <w:rPr>
          <w:sz w:val="24"/>
          <w:szCs w:val="24"/>
        </w:rPr>
      </w:pPr>
      <w:proofErr w:type="gramStart"/>
      <w:r>
        <w:rPr>
          <w:sz w:val="24"/>
          <w:szCs w:val="24"/>
        </w:rPr>
        <w:t>r</w:t>
      </w:r>
      <w:r w:rsidR="009E780C">
        <w:rPr>
          <w:sz w:val="24"/>
          <w:szCs w:val="24"/>
        </w:rPr>
        <w:t>econnaissent</w:t>
      </w:r>
      <w:proofErr w:type="gramEnd"/>
      <w:r w:rsidR="009E780C">
        <w:rPr>
          <w:sz w:val="24"/>
          <w:szCs w:val="24"/>
        </w:rPr>
        <w:t xml:space="preserve"> qu’il n’y a que des arguments théoriq</w:t>
      </w:r>
      <w:r w:rsidR="00A65B81">
        <w:rPr>
          <w:sz w:val="24"/>
          <w:szCs w:val="24"/>
        </w:rPr>
        <w:t>ues en sa faveur et qu’ils sont</w:t>
      </w:r>
    </w:p>
    <w:p w:rsidR="009E780C" w:rsidRDefault="009E780C" w:rsidP="009E780C">
      <w:pPr>
        <w:spacing w:after="0"/>
        <w:rPr>
          <w:sz w:val="24"/>
          <w:szCs w:val="24"/>
        </w:rPr>
      </w:pPr>
      <w:proofErr w:type="gramStart"/>
      <w:r>
        <w:rPr>
          <w:sz w:val="24"/>
          <w:szCs w:val="24"/>
        </w:rPr>
        <w:t>principalement</w:t>
      </w:r>
      <w:proofErr w:type="gramEnd"/>
      <w:r>
        <w:rPr>
          <w:sz w:val="24"/>
          <w:szCs w:val="24"/>
        </w:rPr>
        <w:t xml:space="preserve"> issus de l’expérience contre le virus Ebola.</w:t>
      </w:r>
    </w:p>
    <w:p w:rsidR="009E780C" w:rsidRDefault="009E780C" w:rsidP="009E780C">
      <w:pPr>
        <w:spacing w:after="0"/>
        <w:rPr>
          <w:sz w:val="24"/>
          <w:szCs w:val="24"/>
        </w:rPr>
      </w:pPr>
      <w:r>
        <w:rPr>
          <w:sz w:val="24"/>
          <w:szCs w:val="24"/>
        </w:rPr>
        <w:t>Les doses pour des sujets de poids supérieur à 40 kg sont de 200 mg à J1, puis 100 mg/j de J2 à J10.</w:t>
      </w:r>
    </w:p>
    <w:p w:rsidR="009E780C" w:rsidRDefault="009E780C" w:rsidP="009E780C">
      <w:pPr>
        <w:spacing w:after="0"/>
        <w:rPr>
          <w:sz w:val="24"/>
          <w:szCs w:val="24"/>
        </w:rPr>
      </w:pPr>
      <w:r>
        <w:rPr>
          <w:sz w:val="24"/>
          <w:szCs w:val="24"/>
        </w:rPr>
        <w:t xml:space="preserve">Les effets secondaires sont importants : hypotension artérielle, fonction rénale et hépatique menacées. </w:t>
      </w:r>
      <w:r w:rsidR="00770DF3">
        <w:rPr>
          <w:sz w:val="24"/>
          <w:szCs w:val="24"/>
        </w:rPr>
        <w:t>Le</w:t>
      </w:r>
      <w:r w:rsidR="00E82374">
        <w:rPr>
          <w:sz w:val="24"/>
          <w:szCs w:val="24"/>
        </w:rPr>
        <w:t xml:space="preserve"> </w:t>
      </w:r>
      <w:r w:rsidR="00770DF3">
        <w:rPr>
          <w:sz w:val="24"/>
          <w:szCs w:val="24"/>
        </w:rPr>
        <w:t>29/04/2020 le « Lancet » publie les résultats complets d’un premier essai multicentrique et randomisé fait en Chine sur 237 adultes et en double aveugle et trouve qu’il n’est pas possible de conclure à des effets bénéfiques indiscutables (10).</w:t>
      </w:r>
    </w:p>
    <w:p w:rsidR="007B6B32" w:rsidRDefault="007B6B32" w:rsidP="009E780C">
      <w:pPr>
        <w:spacing w:after="0"/>
        <w:rPr>
          <w:sz w:val="24"/>
          <w:szCs w:val="24"/>
        </w:rPr>
      </w:pPr>
      <w:r>
        <w:rPr>
          <w:sz w:val="24"/>
          <w:szCs w:val="24"/>
        </w:rPr>
        <w:t>L’essai a été arrêté prématurément car la différence sur le taux de mortalité des deux groupes est insuffisant</w:t>
      </w:r>
      <w:r w:rsidR="00C6703D">
        <w:rPr>
          <w:sz w:val="24"/>
          <w:szCs w:val="24"/>
        </w:rPr>
        <w:t>e</w:t>
      </w:r>
      <w:r>
        <w:rPr>
          <w:sz w:val="24"/>
          <w:szCs w:val="24"/>
        </w:rPr>
        <w:t xml:space="preserve"> pour être démonstratif.</w:t>
      </w:r>
    </w:p>
    <w:p w:rsidR="007B6B32" w:rsidRDefault="007B6B32" w:rsidP="009E780C">
      <w:pPr>
        <w:spacing w:after="0"/>
        <w:rPr>
          <w:sz w:val="24"/>
          <w:szCs w:val="24"/>
        </w:rPr>
      </w:pPr>
      <w:r>
        <w:rPr>
          <w:sz w:val="24"/>
          <w:szCs w:val="24"/>
        </w:rPr>
        <w:t>Aux USA cependant la FDA a accordé une autorisation d’utilisation dans le cadre des hospitalisé</w:t>
      </w:r>
      <w:r w:rsidR="00B12621">
        <w:rPr>
          <w:sz w:val="24"/>
          <w:szCs w:val="24"/>
        </w:rPr>
        <w:t>s</w:t>
      </w:r>
      <w:r>
        <w:rPr>
          <w:sz w:val="24"/>
          <w:szCs w:val="24"/>
        </w:rPr>
        <w:t xml:space="preserve"> en réanimation (11).</w:t>
      </w:r>
    </w:p>
    <w:p w:rsidR="00184F44" w:rsidRDefault="00184F44" w:rsidP="009E780C">
      <w:pPr>
        <w:spacing w:after="0"/>
        <w:rPr>
          <w:sz w:val="24"/>
          <w:szCs w:val="24"/>
        </w:rPr>
      </w:pPr>
    </w:p>
    <w:p w:rsidR="00184F44" w:rsidRDefault="00184F44" w:rsidP="009E780C">
      <w:pPr>
        <w:spacing w:after="0"/>
        <w:rPr>
          <w:sz w:val="24"/>
          <w:szCs w:val="24"/>
        </w:rPr>
      </w:pPr>
      <w:r>
        <w:rPr>
          <w:sz w:val="24"/>
          <w:szCs w:val="24"/>
        </w:rPr>
        <w:t>En conclusion ce médicament qui a déjà fait ses preuves</w:t>
      </w:r>
      <w:r w:rsidR="00B12621">
        <w:rPr>
          <w:sz w:val="24"/>
          <w:szCs w:val="24"/>
        </w:rPr>
        <w:t xml:space="preserve"> contre d’autres viroses</w:t>
      </w:r>
      <w:r>
        <w:rPr>
          <w:sz w:val="24"/>
          <w:szCs w:val="24"/>
        </w:rPr>
        <w:t xml:space="preserve"> pourrait être utile mais principalement pour des formes graves de COVID-19.</w:t>
      </w:r>
    </w:p>
    <w:p w:rsidR="00967E2B" w:rsidRDefault="00967E2B" w:rsidP="009E780C">
      <w:pPr>
        <w:spacing w:after="0"/>
        <w:rPr>
          <w:sz w:val="24"/>
          <w:szCs w:val="24"/>
        </w:rPr>
      </w:pPr>
    </w:p>
    <w:p w:rsidR="00967E2B" w:rsidRDefault="00967E2B" w:rsidP="00967E2B">
      <w:pPr>
        <w:spacing w:after="0"/>
        <w:jc w:val="center"/>
        <w:rPr>
          <w:b/>
          <w:sz w:val="28"/>
          <w:szCs w:val="28"/>
        </w:rPr>
      </w:pPr>
      <w:r>
        <w:rPr>
          <w:b/>
          <w:sz w:val="28"/>
          <w:szCs w:val="28"/>
        </w:rPr>
        <w:t xml:space="preserve">Le </w:t>
      </w:r>
      <w:proofErr w:type="spellStart"/>
      <w:r>
        <w:rPr>
          <w:b/>
          <w:sz w:val="28"/>
          <w:szCs w:val="28"/>
        </w:rPr>
        <w:t>tocilizumab</w:t>
      </w:r>
      <w:proofErr w:type="spellEnd"/>
    </w:p>
    <w:p w:rsidR="00967E2B" w:rsidRDefault="00967E2B" w:rsidP="00967E2B">
      <w:pPr>
        <w:spacing w:after="0"/>
        <w:rPr>
          <w:sz w:val="24"/>
          <w:szCs w:val="24"/>
        </w:rPr>
      </w:pPr>
      <w:r>
        <w:rPr>
          <w:sz w:val="24"/>
          <w:szCs w:val="24"/>
        </w:rPr>
        <w:t xml:space="preserve">Le </w:t>
      </w:r>
      <w:proofErr w:type="spellStart"/>
      <w:r>
        <w:rPr>
          <w:sz w:val="24"/>
          <w:szCs w:val="24"/>
        </w:rPr>
        <w:t>tocilizumamb</w:t>
      </w:r>
      <w:proofErr w:type="spellEnd"/>
      <w:r>
        <w:rPr>
          <w:sz w:val="24"/>
          <w:szCs w:val="24"/>
        </w:rPr>
        <w:t xml:space="preserve"> est un anticorps humanisé qui bloque l’action des récepteurs à l’interleukine 6. Il </w:t>
      </w:r>
      <w:r w:rsidR="001E2A9C">
        <w:rPr>
          <w:sz w:val="24"/>
          <w:szCs w:val="24"/>
        </w:rPr>
        <w:t>r</w:t>
      </w:r>
      <w:r>
        <w:rPr>
          <w:sz w:val="24"/>
          <w:szCs w:val="24"/>
        </w:rPr>
        <w:t>épond à la formule brute suivante :</w:t>
      </w:r>
    </w:p>
    <w:p w:rsidR="00967E2B" w:rsidRDefault="00967E2B" w:rsidP="00967E2B">
      <w:pPr>
        <w:spacing w:after="0"/>
        <w:jc w:val="center"/>
        <w:rPr>
          <w:b/>
          <w:sz w:val="24"/>
          <w:szCs w:val="24"/>
          <w:vertAlign w:val="subscript"/>
        </w:rPr>
      </w:pPr>
      <w:r>
        <w:rPr>
          <w:b/>
          <w:sz w:val="24"/>
          <w:szCs w:val="24"/>
        </w:rPr>
        <w:t>C</w:t>
      </w:r>
      <w:r>
        <w:rPr>
          <w:b/>
          <w:sz w:val="24"/>
          <w:szCs w:val="24"/>
          <w:vertAlign w:val="subscript"/>
        </w:rPr>
        <w:t>6428</w:t>
      </w:r>
      <w:r>
        <w:rPr>
          <w:b/>
          <w:sz w:val="24"/>
          <w:szCs w:val="24"/>
        </w:rPr>
        <w:t xml:space="preserve"> H</w:t>
      </w:r>
      <w:r>
        <w:rPr>
          <w:b/>
          <w:sz w:val="24"/>
          <w:szCs w:val="24"/>
          <w:vertAlign w:val="subscript"/>
        </w:rPr>
        <w:t>9976</w:t>
      </w:r>
      <w:r>
        <w:rPr>
          <w:b/>
          <w:sz w:val="24"/>
          <w:szCs w:val="24"/>
        </w:rPr>
        <w:t xml:space="preserve"> N</w:t>
      </w:r>
      <w:r>
        <w:rPr>
          <w:b/>
          <w:sz w:val="24"/>
          <w:szCs w:val="24"/>
          <w:vertAlign w:val="subscript"/>
        </w:rPr>
        <w:t>1720</w:t>
      </w:r>
      <w:r>
        <w:rPr>
          <w:b/>
          <w:sz w:val="24"/>
          <w:szCs w:val="24"/>
        </w:rPr>
        <w:t xml:space="preserve"> O</w:t>
      </w:r>
      <w:r>
        <w:rPr>
          <w:b/>
          <w:sz w:val="24"/>
          <w:szCs w:val="24"/>
          <w:vertAlign w:val="subscript"/>
        </w:rPr>
        <w:t>2018</w:t>
      </w:r>
      <w:r>
        <w:rPr>
          <w:b/>
          <w:sz w:val="24"/>
          <w:szCs w:val="24"/>
        </w:rPr>
        <w:t xml:space="preserve"> S</w:t>
      </w:r>
      <w:r>
        <w:rPr>
          <w:b/>
          <w:sz w:val="24"/>
          <w:szCs w:val="24"/>
          <w:vertAlign w:val="subscript"/>
        </w:rPr>
        <w:t>42</w:t>
      </w:r>
    </w:p>
    <w:p w:rsidR="00967E2B" w:rsidRDefault="001E2A9C" w:rsidP="00967E2B">
      <w:pPr>
        <w:spacing w:after="0"/>
        <w:rPr>
          <w:sz w:val="24"/>
          <w:szCs w:val="24"/>
        </w:rPr>
      </w:pPr>
      <w:r w:rsidRPr="001E2A9C">
        <w:rPr>
          <w:sz w:val="24"/>
          <w:szCs w:val="24"/>
        </w:rPr>
        <w:t xml:space="preserve">C’est donc un immunosuppresseur </w:t>
      </w:r>
      <w:r>
        <w:rPr>
          <w:sz w:val="24"/>
          <w:szCs w:val="24"/>
        </w:rPr>
        <w:t xml:space="preserve">utilisé jusqu’à présent pour le traitement de la polyarthrite rhumatoïde. Il bloque l’action des récepteurs de l’interleukine 6 dont on connait le rôle dans la </w:t>
      </w:r>
      <w:r w:rsidR="00E82374">
        <w:rPr>
          <w:sz w:val="24"/>
          <w:szCs w:val="24"/>
        </w:rPr>
        <w:t>« </w:t>
      </w:r>
      <w:r>
        <w:rPr>
          <w:sz w:val="24"/>
          <w:szCs w:val="24"/>
        </w:rPr>
        <w:t>tempête de cytokine</w:t>
      </w:r>
      <w:r w:rsidR="00E82374">
        <w:rPr>
          <w:sz w:val="24"/>
          <w:szCs w:val="24"/>
        </w:rPr>
        <w:t> »</w:t>
      </w:r>
      <w:r>
        <w:rPr>
          <w:sz w:val="24"/>
          <w:szCs w:val="24"/>
        </w:rPr>
        <w:t xml:space="preserve"> qui aggrave et caractérise l’infection et la gravité de l’infection par le COVID-19.</w:t>
      </w:r>
    </w:p>
    <w:p w:rsidR="001E2A9C" w:rsidRDefault="001E2A9C" w:rsidP="00967E2B">
      <w:pPr>
        <w:spacing w:after="0"/>
        <w:rPr>
          <w:sz w:val="24"/>
          <w:szCs w:val="24"/>
        </w:rPr>
      </w:pPr>
    </w:p>
    <w:p w:rsidR="001E2A9C" w:rsidRDefault="001E2A9C" w:rsidP="00967E2B">
      <w:pPr>
        <w:spacing w:after="0"/>
        <w:rPr>
          <w:sz w:val="24"/>
          <w:szCs w:val="24"/>
        </w:rPr>
      </w:pPr>
      <w:r>
        <w:rPr>
          <w:sz w:val="24"/>
          <w:szCs w:val="24"/>
        </w:rPr>
        <w:t xml:space="preserve">C’est pourquoi il a été utilisé dans cette indication </w:t>
      </w:r>
      <w:r w:rsidR="007E726F">
        <w:rPr>
          <w:sz w:val="24"/>
          <w:szCs w:val="24"/>
        </w:rPr>
        <w:t>avec des fortunes diverses (12).</w:t>
      </w:r>
    </w:p>
    <w:p w:rsidR="00F51820" w:rsidRDefault="00F51820" w:rsidP="00967E2B">
      <w:pPr>
        <w:spacing w:after="0"/>
        <w:rPr>
          <w:sz w:val="24"/>
          <w:szCs w:val="24"/>
        </w:rPr>
      </w:pPr>
      <w:r>
        <w:rPr>
          <w:sz w:val="24"/>
          <w:szCs w:val="24"/>
        </w:rPr>
        <w:t xml:space="preserve">- </w:t>
      </w:r>
      <w:r w:rsidR="00FF2B9B">
        <w:rPr>
          <w:sz w:val="24"/>
          <w:szCs w:val="24"/>
        </w:rPr>
        <w:t>La Chine a proposé le traitement dès le début de l’épidémie ma</w:t>
      </w:r>
      <w:r w:rsidR="00E82374">
        <w:rPr>
          <w:sz w:val="24"/>
          <w:szCs w:val="24"/>
        </w:rPr>
        <w:t>i</w:t>
      </w:r>
      <w:r w:rsidR="00FF2B9B">
        <w:rPr>
          <w:sz w:val="24"/>
          <w:szCs w:val="24"/>
        </w:rPr>
        <w:t>s a arrêté l’expérience en mars 2020 reconnaissant une absence de preuve d’</w:t>
      </w:r>
      <w:r w:rsidR="007E726F">
        <w:rPr>
          <w:sz w:val="24"/>
          <w:szCs w:val="24"/>
        </w:rPr>
        <w:t>efficacité</w:t>
      </w:r>
      <w:r w:rsidR="00FF2B9B">
        <w:rPr>
          <w:sz w:val="24"/>
          <w:szCs w:val="24"/>
        </w:rPr>
        <w:t>.</w:t>
      </w:r>
    </w:p>
    <w:p w:rsidR="00FF2B9B" w:rsidRDefault="00FF2B9B" w:rsidP="00967E2B">
      <w:pPr>
        <w:spacing w:after="0"/>
        <w:rPr>
          <w:sz w:val="24"/>
          <w:szCs w:val="24"/>
        </w:rPr>
      </w:pPr>
      <w:r>
        <w:rPr>
          <w:sz w:val="24"/>
          <w:szCs w:val="24"/>
        </w:rPr>
        <w:t>- En mars 2020 cependant, Antonella Franco en Sicil</w:t>
      </w:r>
      <w:r w:rsidR="006D459A">
        <w:rPr>
          <w:sz w:val="24"/>
          <w:szCs w:val="24"/>
        </w:rPr>
        <w:t xml:space="preserve">e reprend l’essai du </w:t>
      </w:r>
      <w:proofErr w:type="spellStart"/>
      <w:r w:rsidR="006D459A">
        <w:rPr>
          <w:sz w:val="24"/>
          <w:szCs w:val="24"/>
        </w:rPr>
        <w:t>tocilizuma</w:t>
      </w:r>
      <w:r>
        <w:rPr>
          <w:sz w:val="24"/>
          <w:szCs w:val="24"/>
        </w:rPr>
        <w:t>b</w:t>
      </w:r>
      <w:proofErr w:type="spellEnd"/>
      <w:r>
        <w:rPr>
          <w:sz w:val="24"/>
          <w:szCs w:val="24"/>
        </w:rPr>
        <w:t xml:space="preserve"> et affirme avoir obtenu une négativation du portage sur un petit nombre de patients gravement atteints.</w:t>
      </w:r>
    </w:p>
    <w:p w:rsidR="007E726F" w:rsidRDefault="00FF2B9B" w:rsidP="00967E2B">
      <w:pPr>
        <w:spacing w:after="0"/>
        <w:rPr>
          <w:sz w:val="24"/>
          <w:szCs w:val="24"/>
        </w:rPr>
      </w:pPr>
      <w:r>
        <w:rPr>
          <w:sz w:val="24"/>
          <w:szCs w:val="24"/>
        </w:rPr>
        <w:t>- En avril 2020 plusieurs essais sont lancé</w:t>
      </w:r>
      <w:r w:rsidR="006D459A">
        <w:rPr>
          <w:sz w:val="24"/>
          <w:szCs w:val="24"/>
        </w:rPr>
        <w:t>s</w:t>
      </w:r>
      <w:r>
        <w:rPr>
          <w:sz w:val="24"/>
          <w:szCs w:val="24"/>
        </w:rPr>
        <w:t xml:space="preserve"> en France mais </w:t>
      </w:r>
      <w:r w:rsidR="00E82374">
        <w:rPr>
          <w:sz w:val="24"/>
          <w:szCs w:val="24"/>
        </w:rPr>
        <w:t xml:space="preserve">ils </w:t>
      </w:r>
      <w:r>
        <w:rPr>
          <w:sz w:val="24"/>
          <w:szCs w:val="24"/>
        </w:rPr>
        <w:t xml:space="preserve">se diluent dans des querelles d’écoles de sorte qu’aucune conclusion </w:t>
      </w:r>
      <w:r w:rsidR="007E726F">
        <w:rPr>
          <w:sz w:val="24"/>
          <w:szCs w:val="24"/>
        </w:rPr>
        <w:t>indiscutable</w:t>
      </w:r>
      <w:r>
        <w:rPr>
          <w:sz w:val="24"/>
          <w:szCs w:val="24"/>
        </w:rPr>
        <w:t xml:space="preserve"> n’en ressort.</w:t>
      </w:r>
    </w:p>
    <w:p w:rsidR="007E726F" w:rsidRDefault="007E726F" w:rsidP="00967E2B">
      <w:pPr>
        <w:spacing w:after="0"/>
        <w:rPr>
          <w:sz w:val="24"/>
          <w:szCs w:val="24"/>
        </w:rPr>
      </w:pPr>
      <w:r>
        <w:rPr>
          <w:sz w:val="24"/>
          <w:szCs w:val="24"/>
        </w:rPr>
        <w:t>La posologie utilisé</w:t>
      </w:r>
      <w:r w:rsidR="00A65B81">
        <w:rPr>
          <w:sz w:val="24"/>
          <w:szCs w:val="24"/>
        </w:rPr>
        <w:t>e</w:t>
      </w:r>
      <w:r>
        <w:rPr>
          <w:sz w:val="24"/>
          <w:szCs w:val="24"/>
        </w:rPr>
        <w:t xml:space="preserve"> était de 162 mg/semaine en s/</w:t>
      </w:r>
      <w:r w:rsidR="006D459A">
        <w:rPr>
          <w:sz w:val="24"/>
          <w:szCs w:val="24"/>
        </w:rPr>
        <w:t>c</w:t>
      </w:r>
      <w:r>
        <w:rPr>
          <w:sz w:val="24"/>
          <w:szCs w:val="24"/>
        </w:rPr>
        <w:t xml:space="preserve"> ou en i/v.</w:t>
      </w:r>
    </w:p>
    <w:p w:rsidR="007E726F" w:rsidRDefault="007E726F" w:rsidP="00967E2B">
      <w:pPr>
        <w:spacing w:after="0"/>
        <w:rPr>
          <w:sz w:val="24"/>
          <w:szCs w:val="24"/>
        </w:rPr>
      </w:pPr>
      <w:r>
        <w:rPr>
          <w:sz w:val="24"/>
          <w:szCs w:val="24"/>
        </w:rPr>
        <w:t>Les effets secondaires</w:t>
      </w:r>
      <w:r w:rsidR="006D459A">
        <w:rPr>
          <w:sz w:val="24"/>
          <w:szCs w:val="24"/>
        </w:rPr>
        <w:t xml:space="preserve"> relativement fréquents </w:t>
      </w:r>
      <w:r>
        <w:rPr>
          <w:sz w:val="24"/>
          <w:szCs w:val="24"/>
        </w:rPr>
        <w:t>consistent p</w:t>
      </w:r>
      <w:r w:rsidR="005B2637">
        <w:rPr>
          <w:sz w:val="24"/>
          <w:szCs w:val="24"/>
        </w:rPr>
        <w:t xml:space="preserve">rincipalement en réactivation </w:t>
      </w:r>
      <w:r>
        <w:rPr>
          <w:sz w:val="24"/>
          <w:szCs w:val="24"/>
        </w:rPr>
        <w:t xml:space="preserve"> d’autres infecti</w:t>
      </w:r>
      <w:r w:rsidR="00E82374">
        <w:rPr>
          <w:sz w:val="24"/>
          <w:szCs w:val="24"/>
        </w:rPr>
        <w:t>ons, le BK entre autres</w:t>
      </w:r>
      <w:r w:rsidR="006D459A">
        <w:rPr>
          <w:sz w:val="24"/>
          <w:szCs w:val="24"/>
        </w:rPr>
        <w:t xml:space="preserve"> et cela</w:t>
      </w:r>
      <w:r>
        <w:rPr>
          <w:sz w:val="24"/>
          <w:szCs w:val="24"/>
        </w:rPr>
        <w:t xml:space="preserve"> se traduit par des symptômes variés</w:t>
      </w:r>
      <w:r w:rsidR="00E01040">
        <w:rPr>
          <w:sz w:val="24"/>
          <w:szCs w:val="24"/>
        </w:rPr>
        <w:t> </w:t>
      </w:r>
      <w:r>
        <w:rPr>
          <w:sz w:val="24"/>
          <w:szCs w:val="24"/>
        </w:rPr>
        <w:t>: fièvre et frissons, vésicules dans la bouche et sur la peau, céphalées, gastralgies, augmentation des transaminases.</w:t>
      </w:r>
    </w:p>
    <w:p w:rsidR="007E726F" w:rsidRDefault="007E726F" w:rsidP="00967E2B">
      <w:pPr>
        <w:spacing w:after="0"/>
        <w:rPr>
          <w:sz w:val="24"/>
          <w:szCs w:val="24"/>
        </w:rPr>
      </w:pPr>
    </w:p>
    <w:p w:rsidR="007E726F" w:rsidRDefault="007E726F" w:rsidP="00967E2B">
      <w:pPr>
        <w:spacing w:after="0"/>
        <w:rPr>
          <w:sz w:val="24"/>
          <w:szCs w:val="24"/>
        </w:rPr>
      </w:pPr>
      <w:r>
        <w:rPr>
          <w:sz w:val="24"/>
          <w:szCs w:val="24"/>
        </w:rPr>
        <w:t xml:space="preserve">En conclusion le </w:t>
      </w:r>
      <w:proofErr w:type="spellStart"/>
      <w:r>
        <w:rPr>
          <w:sz w:val="24"/>
          <w:szCs w:val="24"/>
        </w:rPr>
        <w:t>tocilizumab</w:t>
      </w:r>
      <w:proofErr w:type="spellEnd"/>
      <w:r>
        <w:rPr>
          <w:sz w:val="24"/>
          <w:szCs w:val="24"/>
        </w:rPr>
        <w:t xml:space="preserve"> est encore à </w:t>
      </w:r>
      <w:r w:rsidR="007E5A73">
        <w:rPr>
          <w:sz w:val="24"/>
          <w:szCs w:val="24"/>
        </w:rPr>
        <w:t>l’essai mais n’est pas convainc</w:t>
      </w:r>
      <w:r>
        <w:rPr>
          <w:sz w:val="24"/>
          <w:szCs w:val="24"/>
        </w:rPr>
        <w:t>ant.</w:t>
      </w:r>
    </w:p>
    <w:p w:rsidR="00BF4DD1" w:rsidRDefault="00BF4DD1" w:rsidP="00EF4ECB">
      <w:pPr>
        <w:spacing w:after="0"/>
        <w:jc w:val="center"/>
        <w:rPr>
          <w:b/>
          <w:sz w:val="28"/>
          <w:szCs w:val="28"/>
        </w:rPr>
      </w:pPr>
    </w:p>
    <w:p w:rsidR="007E726F" w:rsidRDefault="00717D53" w:rsidP="00EF4ECB">
      <w:pPr>
        <w:spacing w:after="0"/>
        <w:jc w:val="center"/>
        <w:rPr>
          <w:b/>
          <w:sz w:val="28"/>
          <w:szCs w:val="28"/>
        </w:rPr>
      </w:pPr>
      <w:r>
        <w:rPr>
          <w:b/>
          <w:sz w:val="28"/>
          <w:szCs w:val="28"/>
        </w:rPr>
        <w:t xml:space="preserve">Le </w:t>
      </w:r>
      <w:proofErr w:type="spellStart"/>
      <w:r>
        <w:rPr>
          <w:b/>
          <w:sz w:val="28"/>
          <w:szCs w:val="28"/>
        </w:rPr>
        <w:t>Lopinavir</w:t>
      </w:r>
      <w:proofErr w:type="spellEnd"/>
      <w:r>
        <w:rPr>
          <w:b/>
          <w:sz w:val="28"/>
          <w:szCs w:val="28"/>
        </w:rPr>
        <w:t xml:space="preserve"> / </w:t>
      </w:r>
      <w:proofErr w:type="spellStart"/>
      <w:r>
        <w:rPr>
          <w:b/>
          <w:sz w:val="28"/>
          <w:szCs w:val="28"/>
        </w:rPr>
        <w:t>Ritonavir</w:t>
      </w:r>
      <w:proofErr w:type="spellEnd"/>
    </w:p>
    <w:p w:rsidR="00717D53" w:rsidRDefault="00717D53" w:rsidP="00EF4ECB">
      <w:pPr>
        <w:spacing w:after="0"/>
        <w:jc w:val="center"/>
        <w:rPr>
          <w:b/>
          <w:sz w:val="28"/>
          <w:szCs w:val="28"/>
        </w:rPr>
      </w:pPr>
    </w:p>
    <w:p w:rsidR="00717D53" w:rsidRDefault="00717D53" w:rsidP="00717D53">
      <w:pPr>
        <w:spacing w:after="0"/>
        <w:rPr>
          <w:sz w:val="24"/>
          <w:szCs w:val="24"/>
        </w:rPr>
      </w:pPr>
      <w:r>
        <w:rPr>
          <w:sz w:val="24"/>
          <w:szCs w:val="24"/>
        </w:rPr>
        <w:t>Ces deux drogues sont connues pour leur pouvoir anti-VIH. Elles exercent toutes deux une inhibition de la protéase</w:t>
      </w:r>
      <w:r w:rsidR="005738A9">
        <w:rPr>
          <w:sz w:val="24"/>
          <w:szCs w:val="24"/>
        </w:rPr>
        <w:t xml:space="preserve"> du viru</w:t>
      </w:r>
      <w:r w:rsidR="00F82D25">
        <w:rPr>
          <w:sz w:val="24"/>
          <w:szCs w:val="24"/>
        </w:rPr>
        <w:t xml:space="preserve">s. Cette enzyme possède </w:t>
      </w:r>
      <w:r w:rsidR="005738A9">
        <w:rPr>
          <w:sz w:val="24"/>
          <w:szCs w:val="24"/>
        </w:rPr>
        <w:t>un rôle central dans le cycle viral en réalisant le clivage protéolytique de certains précurseurs peptidiques. Les inhibiteurs sont donc des agents qui bloquent la maturation du virus et les virions formés sont inactifs et non infectieux. La connaissance de ce mode d’action a suggéré de</w:t>
      </w:r>
      <w:r w:rsidR="009C3111">
        <w:rPr>
          <w:sz w:val="24"/>
          <w:szCs w:val="24"/>
        </w:rPr>
        <w:t xml:space="preserve"> les essayer contre le coronavirus</w:t>
      </w:r>
      <w:r w:rsidR="005738A9">
        <w:rPr>
          <w:sz w:val="24"/>
          <w:szCs w:val="24"/>
        </w:rPr>
        <w:t xml:space="preserve"> (13).</w:t>
      </w:r>
    </w:p>
    <w:p w:rsidR="00BF4DD1" w:rsidRDefault="00BF4DD1" w:rsidP="009C3111">
      <w:pPr>
        <w:spacing w:after="0"/>
        <w:rPr>
          <w:sz w:val="24"/>
          <w:szCs w:val="24"/>
        </w:rPr>
      </w:pPr>
    </w:p>
    <w:p w:rsidR="009C3111" w:rsidRPr="00717D53" w:rsidRDefault="009C3111" w:rsidP="009C3111">
      <w:pPr>
        <w:spacing w:after="0"/>
        <w:rPr>
          <w:sz w:val="24"/>
          <w:szCs w:val="24"/>
        </w:rPr>
      </w:pPr>
      <w:r>
        <w:rPr>
          <w:noProof/>
          <w:sz w:val="24"/>
          <w:szCs w:val="24"/>
          <w:lang w:eastAsia="fr-BE"/>
        </w:rPr>
        <w:drawing>
          <wp:inline distT="0" distB="0" distL="0" distR="0">
            <wp:extent cx="5760720" cy="294386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 1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2943860"/>
                    </a:xfrm>
                    <a:prstGeom prst="rect">
                      <a:avLst/>
                    </a:prstGeom>
                  </pic:spPr>
                </pic:pic>
              </a:graphicData>
            </a:graphic>
          </wp:inline>
        </w:drawing>
      </w:r>
    </w:p>
    <w:p w:rsidR="007E726F" w:rsidRDefault="007E726F" w:rsidP="00967E2B">
      <w:pPr>
        <w:spacing w:after="0"/>
        <w:rPr>
          <w:sz w:val="24"/>
          <w:szCs w:val="24"/>
        </w:rPr>
      </w:pPr>
    </w:p>
    <w:p w:rsidR="007E726F" w:rsidRDefault="009C3111" w:rsidP="009C3111">
      <w:pPr>
        <w:spacing w:after="0"/>
        <w:jc w:val="center"/>
        <w:rPr>
          <w:sz w:val="24"/>
          <w:szCs w:val="24"/>
        </w:rPr>
      </w:pPr>
      <w:r>
        <w:rPr>
          <w:sz w:val="24"/>
          <w:szCs w:val="24"/>
        </w:rPr>
        <w:t xml:space="preserve">Figure 5- Formules spatiales du </w:t>
      </w:r>
      <w:proofErr w:type="spellStart"/>
      <w:r>
        <w:rPr>
          <w:sz w:val="24"/>
          <w:szCs w:val="24"/>
        </w:rPr>
        <w:t>lopinavir</w:t>
      </w:r>
      <w:proofErr w:type="spellEnd"/>
      <w:r>
        <w:rPr>
          <w:sz w:val="24"/>
          <w:szCs w:val="24"/>
        </w:rPr>
        <w:t xml:space="preserve"> et du </w:t>
      </w:r>
      <w:proofErr w:type="spellStart"/>
      <w:r>
        <w:rPr>
          <w:sz w:val="24"/>
          <w:szCs w:val="24"/>
        </w:rPr>
        <w:t>ritonavir</w:t>
      </w:r>
      <w:proofErr w:type="spellEnd"/>
    </w:p>
    <w:p w:rsidR="009C3111" w:rsidRDefault="009C3111" w:rsidP="009C3111">
      <w:pPr>
        <w:spacing w:after="0"/>
        <w:jc w:val="center"/>
        <w:rPr>
          <w:sz w:val="24"/>
          <w:szCs w:val="24"/>
        </w:rPr>
      </w:pPr>
    </w:p>
    <w:p w:rsidR="009C3111" w:rsidRDefault="000329FE" w:rsidP="009C3111">
      <w:pPr>
        <w:spacing w:after="0"/>
        <w:rPr>
          <w:sz w:val="24"/>
          <w:szCs w:val="24"/>
        </w:rPr>
      </w:pPr>
      <w:r>
        <w:rPr>
          <w:sz w:val="24"/>
          <w:szCs w:val="24"/>
        </w:rPr>
        <w:t>Ces deux drogues sont généralement associé</w:t>
      </w:r>
      <w:r w:rsidR="00FA1626">
        <w:rPr>
          <w:sz w:val="24"/>
          <w:szCs w:val="24"/>
        </w:rPr>
        <w:t>e</w:t>
      </w:r>
      <w:r>
        <w:rPr>
          <w:sz w:val="24"/>
          <w:szCs w:val="24"/>
        </w:rPr>
        <w:t xml:space="preserve">s sus le nom de </w:t>
      </w:r>
      <w:proofErr w:type="spellStart"/>
      <w:r>
        <w:rPr>
          <w:sz w:val="24"/>
          <w:szCs w:val="24"/>
        </w:rPr>
        <w:t>Kaletra</w:t>
      </w:r>
      <w:proofErr w:type="spellEnd"/>
      <w:r>
        <w:rPr>
          <w:sz w:val="24"/>
          <w:szCs w:val="24"/>
        </w:rPr>
        <w:t xml:space="preserve">®. Elles ont le même mode d’action mais le </w:t>
      </w:r>
      <w:proofErr w:type="spellStart"/>
      <w:r>
        <w:rPr>
          <w:sz w:val="24"/>
          <w:szCs w:val="24"/>
        </w:rPr>
        <w:t>ritonavir</w:t>
      </w:r>
      <w:proofErr w:type="spellEnd"/>
      <w:r>
        <w:rPr>
          <w:sz w:val="24"/>
          <w:szCs w:val="24"/>
        </w:rPr>
        <w:t xml:space="preserve"> est surtout associé parce qu’il e</w:t>
      </w:r>
      <w:r w:rsidR="00FA1626">
        <w:rPr>
          <w:sz w:val="24"/>
          <w:szCs w:val="24"/>
        </w:rPr>
        <w:t>s</w:t>
      </w:r>
      <w:r>
        <w:rPr>
          <w:sz w:val="24"/>
          <w:szCs w:val="24"/>
        </w:rPr>
        <w:t>t un inhibiteur du cytochro</w:t>
      </w:r>
      <w:r w:rsidR="00E82374">
        <w:rPr>
          <w:sz w:val="24"/>
          <w:szCs w:val="24"/>
        </w:rPr>
        <w:t>me P450 enzyme de catabolisme médicamenteux</w:t>
      </w:r>
      <w:r>
        <w:rPr>
          <w:sz w:val="24"/>
          <w:szCs w:val="24"/>
        </w:rPr>
        <w:t xml:space="preserve">. Cette association permet ainsi d’améliorer la concentration sérique en </w:t>
      </w:r>
      <w:proofErr w:type="spellStart"/>
      <w:r>
        <w:rPr>
          <w:sz w:val="24"/>
          <w:szCs w:val="24"/>
        </w:rPr>
        <w:t>lopinavir</w:t>
      </w:r>
      <w:proofErr w:type="spellEnd"/>
      <w:r>
        <w:rPr>
          <w:sz w:val="24"/>
          <w:szCs w:val="24"/>
        </w:rPr>
        <w:t>.</w:t>
      </w:r>
    </w:p>
    <w:p w:rsidR="00831255" w:rsidRDefault="00831255" w:rsidP="009C3111">
      <w:pPr>
        <w:spacing w:after="0"/>
        <w:rPr>
          <w:sz w:val="24"/>
          <w:szCs w:val="24"/>
        </w:rPr>
      </w:pPr>
    </w:p>
    <w:p w:rsidR="002C21ED" w:rsidRDefault="00831255" w:rsidP="009C3111">
      <w:pPr>
        <w:spacing w:after="0"/>
        <w:rPr>
          <w:sz w:val="24"/>
          <w:szCs w:val="24"/>
        </w:rPr>
      </w:pPr>
      <w:r>
        <w:rPr>
          <w:sz w:val="24"/>
          <w:szCs w:val="24"/>
        </w:rPr>
        <w:t>Cette association a été prescrite pendant 14 jours à la dose de 400 mg/100 mg 2 fois par jour per os. Un premier essai randomisé et contrôlé (</w:t>
      </w:r>
      <w:r w:rsidR="002C21ED">
        <w:rPr>
          <w:sz w:val="24"/>
          <w:szCs w:val="24"/>
        </w:rPr>
        <w:t>14</w:t>
      </w:r>
      <w:r>
        <w:rPr>
          <w:sz w:val="24"/>
          <w:szCs w:val="24"/>
        </w:rPr>
        <w:t>) a été administ</w:t>
      </w:r>
      <w:r w:rsidR="002C21ED">
        <w:rPr>
          <w:sz w:val="24"/>
          <w:szCs w:val="24"/>
        </w:rPr>
        <w:t>ré à 119 cas graves de COVID-19. Les effets secondaires tels que nausées, diarrhées ont été fréquents et ont justifié un arrêt du traitement.</w:t>
      </w:r>
    </w:p>
    <w:p w:rsidR="002C21ED" w:rsidRDefault="002C21ED" w:rsidP="009C3111">
      <w:pPr>
        <w:spacing w:after="0"/>
        <w:rPr>
          <w:sz w:val="24"/>
          <w:szCs w:val="24"/>
        </w:rPr>
      </w:pPr>
    </w:p>
    <w:p w:rsidR="00386D64" w:rsidRPr="00BF4DD1" w:rsidRDefault="002804DC" w:rsidP="00BF4DD1">
      <w:pPr>
        <w:spacing w:after="0"/>
        <w:rPr>
          <w:sz w:val="24"/>
          <w:szCs w:val="24"/>
        </w:rPr>
      </w:pPr>
      <w:r>
        <w:rPr>
          <w:sz w:val="24"/>
          <w:szCs w:val="24"/>
        </w:rPr>
        <w:t xml:space="preserve">L’amélioration des patients n’a pas été évidente de sorte que l’expérimentation a été abandonnée malgré le mode d’action prometteur. Le </w:t>
      </w:r>
      <w:proofErr w:type="spellStart"/>
      <w:r>
        <w:rPr>
          <w:sz w:val="24"/>
          <w:szCs w:val="24"/>
        </w:rPr>
        <w:t>Kaletra</w:t>
      </w:r>
      <w:proofErr w:type="spellEnd"/>
      <w:r>
        <w:rPr>
          <w:sz w:val="24"/>
          <w:szCs w:val="24"/>
        </w:rPr>
        <w:t xml:space="preserve">® reste toutefois dans la liste </w:t>
      </w:r>
      <w:r>
        <w:rPr>
          <w:sz w:val="24"/>
          <w:szCs w:val="24"/>
        </w:rPr>
        <w:lastRenderedPageBreak/>
        <w:t>des substances à réessayer plus tard si les recherches ne débouchent pas sur des produits indiscutablement plus actifs.</w:t>
      </w:r>
    </w:p>
    <w:p w:rsidR="00386D64" w:rsidRDefault="00E01040" w:rsidP="00E01040">
      <w:pPr>
        <w:spacing w:after="0"/>
        <w:ind w:left="1134"/>
        <w:jc w:val="center"/>
        <w:rPr>
          <w:b/>
          <w:sz w:val="28"/>
          <w:szCs w:val="28"/>
        </w:rPr>
      </w:pPr>
      <w:r>
        <w:rPr>
          <w:b/>
          <w:sz w:val="28"/>
          <w:szCs w:val="28"/>
        </w:rPr>
        <w:t>L’</w:t>
      </w:r>
      <w:proofErr w:type="spellStart"/>
      <w:r>
        <w:rPr>
          <w:b/>
          <w:sz w:val="28"/>
          <w:szCs w:val="28"/>
        </w:rPr>
        <w:t>Anakinra</w:t>
      </w:r>
      <w:proofErr w:type="spellEnd"/>
    </w:p>
    <w:p w:rsidR="00587167" w:rsidRDefault="00587167" w:rsidP="00E01040">
      <w:pPr>
        <w:spacing w:after="0"/>
        <w:rPr>
          <w:sz w:val="24"/>
          <w:szCs w:val="24"/>
        </w:rPr>
      </w:pPr>
    </w:p>
    <w:p w:rsidR="00E01040" w:rsidRDefault="00587167" w:rsidP="00E01040">
      <w:pPr>
        <w:spacing w:after="0"/>
        <w:rPr>
          <w:sz w:val="24"/>
          <w:szCs w:val="24"/>
        </w:rPr>
      </w:pPr>
      <w:r>
        <w:rPr>
          <w:sz w:val="24"/>
          <w:szCs w:val="24"/>
        </w:rPr>
        <w:t>L’</w:t>
      </w:r>
      <w:proofErr w:type="spellStart"/>
      <w:r>
        <w:rPr>
          <w:sz w:val="24"/>
          <w:szCs w:val="24"/>
        </w:rPr>
        <w:t>anakinra</w:t>
      </w:r>
      <w:proofErr w:type="spellEnd"/>
      <w:r>
        <w:rPr>
          <w:sz w:val="24"/>
          <w:szCs w:val="24"/>
        </w:rPr>
        <w:t xml:space="preserve"> est un immunosuppresseur antagoniste de l’interleukine 1 et connu pour son efficacité dans le traitement de certaines formes de polyarthrite. Il répond à la formule brute suivante :</w:t>
      </w:r>
    </w:p>
    <w:p w:rsidR="00587167" w:rsidRDefault="00587167" w:rsidP="00587167">
      <w:pPr>
        <w:spacing w:after="0"/>
        <w:jc w:val="center"/>
        <w:rPr>
          <w:b/>
          <w:sz w:val="24"/>
          <w:szCs w:val="24"/>
          <w:vertAlign w:val="subscript"/>
        </w:rPr>
      </w:pPr>
      <w:r>
        <w:rPr>
          <w:b/>
          <w:sz w:val="24"/>
          <w:szCs w:val="24"/>
        </w:rPr>
        <w:t>C</w:t>
      </w:r>
      <w:r>
        <w:rPr>
          <w:b/>
          <w:sz w:val="24"/>
          <w:szCs w:val="24"/>
          <w:vertAlign w:val="subscript"/>
        </w:rPr>
        <w:t>759</w:t>
      </w:r>
      <w:r>
        <w:rPr>
          <w:b/>
          <w:sz w:val="24"/>
          <w:szCs w:val="24"/>
        </w:rPr>
        <w:t xml:space="preserve"> H</w:t>
      </w:r>
      <w:r>
        <w:rPr>
          <w:b/>
          <w:sz w:val="24"/>
          <w:szCs w:val="24"/>
          <w:vertAlign w:val="subscript"/>
        </w:rPr>
        <w:t>1186</w:t>
      </w:r>
      <w:r>
        <w:rPr>
          <w:b/>
          <w:sz w:val="24"/>
          <w:szCs w:val="24"/>
        </w:rPr>
        <w:t xml:space="preserve"> N</w:t>
      </w:r>
      <w:r>
        <w:rPr>
          <w:b/>
          <w:sz w:val="24"/>
          <w:szCs w:val="24"/>
          <w:vertAlign w:val="subscript"/>
        </w:rPr>
        <w:t>208</w:t>
      </w:r>
      <w:r>
        <w:rPr>
          <w:b/>
          <w:sz w:val="24"/>
          <w:szCs w:val="24"/>
        </w:rPr>
        <w:t xml:space="preserve"> O</w:t>
      </w:r>
      <w:r>
        <w:rPr>
          <w:b/>
          <w:sz w:val="24"/>
          <w:szCs w:val="24"/>
          <w:vertAlign w:val="subscript"/>
        </w:rPr>
        <w:t>232</w:t>
      </w:r>
      <w:r>
        <w:rPr>
          <w:b/>
          <w:sz w:val="24"/>
          <w:szCs w:val="24"/>
        </w:rPr>
        <w:t xml:space="preserve"> S</w:t>
      </w:r>
      <w:r>
        <w:rPr>
          <w:b/>
          <w:sz w:val="24"/>
          <w:szCs w:val="24"/>
          <w:vertAlign w:val="subscript"/>
        </w:rPr>
        <w:t>10</w:t>
      </w:r>
    </w:p>
    <w:p w:rsidR="00587167" w:rsidRDefault="00C42D32" w:rsidP="00587167">
      <w:pPr>
        <w:spacing w:after="0"/>
        <w:rPr>
          <w:sz w:val="24"/>
          <w:szCs w:val="24"/>
        </w:rPr>
      </w:pPr>
      <w:r>
        <w:rPr>
          <w:sz w:val="24"/>
          <w:szCs w:val="24"/>
        </w:rPr>
        <w:t xml:space="preserve">Le mode d’action a donné l’idée de l’employer dans certaines formes graves de l’infection au COVID-19 particulièrement en phases 4 (3) en pleine « tempête </w:t>
      </w:r>
      <w:proofErr w:type="spellStart"/>
      <w:r>
        <w:rPr>
          <w:sz w:val="24"/>
          <w:szCs w:val="24"/>
        </w:rPr>
        <w:t>cytokinique</w:t>
      </w:r>
      <w:proofErr w:type="spellEnd"/>
      <w:r>
        <w:rPr>
          <w:sz w:val="24"/>
          <w:szCs w:val="24"/>
        </w:rPr>
        <w:t xml:space="preserve"> ». </w:t>
      </w:r>
    </w:p>
    <w:p w:rsidR="00C42D32" w:rsidRDefault="00C42D32" w:rsidP="00587167">
      <w:pPr>
        <w:spacing w:after="0"/>
        <w:rPr>
          <w:sz w:val="24"/>
          <w:szCs w:val="24"/>
        </w:rPr>
      </w:pPr>
    </w:p>
    <w:p w:rsidR="00C42D32" w:rsidRDefault="00C42D32" w:rsidP="00587167">
      <w:pPr>
        <w:spacing w:after="0"/>
        <w:rPr>
          <w:sz w:val="24"/>
          <w:szCs w:val="24"/>
        </w:rPr>
      </w:pPr>
      <w:r>
        <w:rPr>
          <w:sz w:val="24"/>
          <w:szCs w:val="24"/>
        </w:rPr>
        <w:t xml:space="preserve">Une série française réalisée par l’Equipe du Groupe hospitalier de Paris St Joseph fait état d’une baisse statistiquement significative de la nécessité d’une réanimation (15). </w:t>
      </w:r>
    </w:p>
    <w:p w:rsidR="00C42D32" w:rsidRDefault="00D742F8" w:rsidP="00587167">
      <w:pPr>
        <w:spacing w:after="0"/>
        <w:rPr>
          <w:sz w:val="24"/>
          <w:szCs w:val="24"/>
        </w:rPr>
      </w:pPr>
      <w:r>
        <w:rPr>
          <w:sz w:val="24"/>
          <w:szCs w:val="24"/>
        </w:rPr>
        <w:t>Une é</w:t>
      </w:r>
      <w:r w:rsidR="00C42D32">
        <w:rPr>
          <w:sz w:val="24"/>
          <w:szCs w:val="24"/>
        </w:rPr>
        <w:t>quipe de Liège vient d’entreprendre le même schéma mais n’a pas e</w:t>
      </w:r>
      <w:r w:rsidR="00AC455A">
        <w:rPr>
          <w:sz w:val="24"/>
          <w:szCs w:val="24"/>
        </w:rPr>
        <w:t>n</w:t>
      </w:r>
      <w:r w:rsidR="00C42D32">
        <w:rPr>
          <w:sz w:val="24"/>
          <w:szCs w:val="24"/>
        </w:rPr>
        <w:t>core de résultats publiés.</w:t>
      </w:r>
    </w:p>
    <w:p w:rsidR="00C42D32" w:rsidRDefault="00C42D32" w:rsidP="00587167">
      <w:pPr>
        <w:spacing w:after="0"/>
        <w:rPr>
          <w:sz w:val="24"/>
          <w:szCs w:val="24"/>
        </w:rPr>
      </w:pPr>
    </w:p>
    <w:p w:rsidR="00C42D32" w:rsidRDefault="00C42D32" w:rsidP="00587167">
      <w:pPr>
        <w:spacing w:after="0"/>
        <w:rPr>
          <w:sz w:val="24"/>
          <w:szCs w:val="24"/>
        </w:rPr>
      </w:pPr>
      <w:r>
        <w:rPr>
          <w:sz w:val="24"/>
          <w:szCs w:val="24"/>
        </w:rPr>
        <w:t xml:space="preserve">La dose utilisée </w:t>
      </w:r>
      <w:r w:rsidR="00EC396A">
        <w:rPr>
          <w:sz w:val="24"/>
          <w:szCs w:val="24"/>
        </w:rPr>
        <w:t>était de 100mg/j en s/c. Les effets secondaires sont relativement f</w:t>
      </w:r>
      <w:r w:rsidR="00AC455A">
        <w:rPr>
          <w:sz w:val="24"/>
          <w:szCs w:val="24"/>
        </w:rPr>
        <w:t>r</w:t>
      </w:r>
      <w:r w:rsidR="00EC396A">
        <w:rPr>
          <w:sz w:val="24"/>
          <w:szCs w:val="24"/>
        </w:rPr>
        <w:t>équents :</w:t>
      </w:r>
    </w:p>
    <w:p w:rsidR="00EC396A" w:rsidRDefault="00EC396A" w:rsidP="00587167">
      <w:pPr>
        <w:spacing w:after="0"/>
        <w:rPr>
          <w:sz w:val="24"/>
          <w:szCs w:val="24"/>
        </w:rPr>
      </w:pPr>
      <w:r>
        <w:rPr>
          <w:sz w:val="24"/>
          <w:szCs w:val="24"/>
        </w:rPr>
        <w:t xml:space="preserve">- réaction allergique au site d’injection, avec risque de nécrose cutanée, </w:t>
      </w:r>
    </w:p>
    <w:p w:rsidR="00EC396A" w:rsidRDefault="00EC396A" w:rsidP="00587167">
      <w:pPr>
        <w:spacing w:after="0"/>
        <w:rPr>
          <w:sz w:val="24"/>
          <w:szCs w:val="24"/>
        </w:rPr>
      </w:pPr>
      <w:r>
        <w:rPr>
          <w:sz w:val="24"/>
          <w:szCs w:val="24"/>
        </w:rPr>
        <w:t xml:space="preserve">- 1 à 10% développent des infections graves autres avec leucopénie et </w:t>
      </w:r>
      <w:proofErr w:type="spellStart"/>
      <w:r>
        <w:rPr>
          <w:sz w:val="24"/>
          <w:szCs w:val="24"/>
        </w:rPr>
        <w:t>hypoplaquettose</w:t>
      </w:r>
      <w:proofErr w:type="spellEnd"/>
      <w:r>
        <w:rPr>
          <w:sz w:val="24"/>
          <w:szCs w:val="24"/>
        </w:rPr>
        <w:t xml:space="preserve">. </w:t>
      </w:r>
    </w:p>
    <w:p w:rsidR="00EC396A" w:rsidRDefault="00EC396A" w:rsidP="00587167">
      <w:pPr>
        <w:spacing w:after="0"/>
        <w:rPr>
          <w:sz w:val="24"/>
          <w:szCs w:val="24"/>
        </w:rPr>
      </w:pPr>
    </w:p>
    <w:p w:rsidR="00EC396A" w:rsidRDefault="00EC396A" w:rsidP="00587167">
      <w:pPr>
        <w:spacing w:after="0"/>
        <w:rPr>
          <w:sz w:val="24"/>
          <w:szCs w:val="24"/>
        </w:rPr>
      </w:pPr>
      <w:r>
        <w:rPr>
          <w:sz w:val="24"/>
          <w:szCs w:val="24"/>
        </w:rPr>
        <w:t>L’</w:t>
      </w:r>
      <w:proofErr w:type="spellStart"/>
      <w:r>
        <w:rPr>
          <w:sz w:val="24"/>
          <w:szCs w:val="24"/>
        </w:rPr>
        <w:t>anakinra</w:t>
      </w:r>
      <w:proofErr w:type="spellEnd"/>
      <w:r>
        <w:rPr>
          <w:sz w:val="24"/>
          <w:szCs w:val="24"/>
        </w:rPr>
        <w:t xml:space="preserve"> a donc fait preuve d’une certaine efficacité contre le COVI-19 mais les risques lié</w:t>
      </w:r>
      <w:r w:rsidR="00AC455A">
        <w:rPr>
          <w:sz w:val="24"/>
          <w:szCs w:val="24"/>
        </w:rPr>
        <w:t>s à cette molécule font qu’on la</w:t>
      </w:r>
      <w:r>
        <w:rPr>
          <w:sz w:val="24"/>
          <w:szCs w:val="24"/>
        </w:rPr>
        <w:t xml:space="preserve"> réserve au</w:t>
      </w:r>
      <w:r w:rsidR="005B2637">
        <w:rPr>
          <w:sz w:val="24"/>
          <w:szCs w:val="24"/>
        </w:rPr>
        <w:t>x</w:t>
      </w:r>
      <w:r>
        <w:rPr>
          <w:sz w:val="24"/>
          <w:szCs w:val="24"/>
        </w:rPr>
        <w:t xml:space="preserve"> cas très graves et de préférence pendant la phase 4 de la maladie.</w:t>
      </w:r>
    </w:p>
    <w:p w:rsidR="0080500E" w:rsidRDefault="0080500E" w:rsidP="00587167">
      <w:pPr>
        <w:spacing w:after="0"/>
        <w:rPr>
          <w:sz w:val="24"/>
          <w:szCs w:val="24"/>
        </w:rPr>
      </w:pPr>
    </w:p>
    <w:p w:rsidR="0080500E" w:rsidRDefault="0080500E" w:rsidP="0080500E">
      <w:pPr>
        <w:spacing w:after="0"/>
        <w:jc w:val="center"/>
        <w:rPr>
          <w:sz w:val="28"/>
          <w:szCs w:val="28"/>
        </w:rPr>
      </w:pPr>
      <w:r>
        <w:rPr>
          <w:b/>
          <w:sz w:val="28"/>
          <w:szCs w:val="28"/>
        </w:rPr>
        <w:t>L’interféron</w:t>
      </w:r>
    </w:p>
    <w:p w:rsidR="0080500E" w:rsidRDefault="0080500E" w:rsidP="0080500E">
      <w:pPr>
        <w:spacing w:after="0"/>
        <w:jc w:val="center"/>
        <w:rPr>
          <w:sz w:val="28"/>
          <w:szCs w:val="28"/>
        </w:rPr>
      </w:pPr>
    </w:p>
    <w:p w:rsidR="0080500E" w:rsidRDefault="008229C7" w:rsidP="0080500E">
      <w:pPr>
        <w:spacing w:after="0"/>
        <w:rPr>
          <w:sz w:val="24"/>
          <w:szCs w:val="24"/>
        </w:rPr>
      </w:pPr>
      <w:r>
        <w:rPr>
          <w:sz w:val="24"/>
          <w:szCs w:val="24"/>
        </w:rPr>
        <w:t>L’interféron est une cytokine dont l’emploi peut sembler paradoxal dans l’infection au COV</w:t>
      </w:r>
      <w:r w:rsidR="004C58C0">
        <w:rPr>
          <w:sz w:val="24"/>
          <w:szCs w:val="24"/>
        </w:rPr>
        <w:t xml:space="preserve">ID-19 alors que la gravité de cette </w:t>
      </w:r>
      <w:r>
        <w:rPr>
          <w:sz w:val="24"/>
          <w:szCs w:val="24"/>
        </w:rPr>
        <w:t xml:space="preserve">infection est conditionnée par l’importance de la « tempête de cytokines ». </w:t>
      </w:r>
    </w:p>
    <w:p w:rsidR="006D460C" w:rsidRDefault="006D460C" w:rsidP="0080500E">
      <w:pPr>
        <w:spacing w:after="0"/>
        <w:rPr>
          <w:sz w:val="24"/>
          <w:szCs w:val="24"/>
        </w:rPr>
      </w:pPr>
      <w:r>
        <w:rPr>
          <w:sz w:val="24"/>
          <w:szCs w:val="24"/>
        </w:rPr>
        <w:t xml:space="preserve">Des travaux récents suggèrent néanmoins qu’un type d’interféron type III ou interféron λ peut combattre l’infection virale tout en limitant les dommages inflammatoires. Du moment de son intervention dépend le caractère  thérapeutique possible. </w:t>
      </w:r>
    </w:p>
    <w:p w:rsidR="002F3BDC" w:rsidRDefault="002F3BDC" w:rsidP="0080500E">
      <w:pPr>
        <w:spacing w:after="0"/>
        <w:rPr>
          <w:sz w:val="24"/>
          <w:szCs w:val="24"/>
        </w:rPr>
      </w:pPr>
      <w:r>
        <w:rPr>
          <w:sz w:val="24"/>
          <w:szCs w:val="24"/>
        </w:rPr>
        <w:t>L’essai le plus significatif (16) fait état d’une ac</w:t>
      </w:r>
      <w:r w:rsidR="00F257F2">
        <w:rPr>
          <w:sz w:val="24"/>
          <w:szCs w:val="24"/>
        </w:rPr>
        <w:t>célération de l</w:t>
      </w:r>
      <w:r>
        <w:rPr>
          <w:sz w:val="24"/>
          <w:szCs w:val="24"/>
        </w:rPr>
        <w:t xml:space="preserve">a clearance du virus. </w:t>
      </w:r>
      <w:r w:rsidR="00F257F2">
        <w:rPr>
          <w:sz w:val="24"/>
          <w:szCs w:val="24"/>
        </w:rPr>
        <w:t>M</w:t>
      </w:r>
      <w:r>
        <w:rPr>
          <w:sz w:val="24"/>
          <w:szCs w:val="24"/>
        </w:rPr>
        <w:t>ais cette exploration comporte des limites : nombre de cas limité</w:t>
      </w:r>
      <w:r w:rsidR="00F257F2">
        <w:rPr>
          <w:sz w:val="24"/>
          <w:szCs w:val="24"/>
        </w:rPr>
        <w:t>s</w:t>
      </w:r>
      <w:r>
        <w:rPr>
          <w:sz w:val="24"/>
          <w:szCs w:val="24"/>
        </w:rPr>
        <w:t xml:space="preserve">, non randomisés et on relève une disparité dans répartition déséquilibrée des groupes à risques. </w:t>
      </w:r>
    </w:p>
    <w:p w:rsidR="00F257F2" w:rsidRDefault="00F257F2" w:rsidP="0080500E">
      <w:pPr>
        <w:spacing w:after="0"/>
        <w:rPr>
          <w:sz w:val="24"/>
          <w:szCs w:val="24"/>
        </w:rPr>
      </w:pPr>
      <w:r>
        <w:rPr>
          <w:sz w:val="24"/>
          <w:szCs w:val="24"/>
        </w:rPr>
        <w:t>D’autres essais sont en cours associé</w:t>
      </w:r>
      <w:r w:rsidR="00FF2D6E">
        <w:rPr>
          <w:sz w:val="24"/>
          <w:szCs w:val="24"/>
        </w:rPr>
        <w:t>s</w:t>
      </w:r>
      <w:r>
        <w:rPr>
          <w:sz w:val="24"/>
          <w:szCs w:val="24"/>
        </w:rPr>
        <w:t xml:space="preserve"> à d’autres antiviraux.</w:t>
      </w:r>
    </w:p>
    <w:p w:rsidR="00B04209" w:rsidRDefault="00B04209" w:rsidP="0080500E">
      <w:pPr>
        <w:spacing w:after="0"/>
        <w:rPr>
          <w:sz w:val="24"/>
          <w:szCs w:val="24"/>
        </w:rPr>
      </w:pPr>
    </w:p>
    <w:p w:rsidR="00FF2D6E" w:rsidRDefault="00FF2D6E" w:rsidP="00B04209">
      <w:pPr>
        <w:spacing w:after="0"/>
        <w:jc w:val="center"/>
        <w:rPr>
          <w:b/>
          <w:sz w:val="28"/>
          <w:szCs w:val="28"/>
        </w:rPr>
      </w:pPr>
    </w:p>
    <w:p w:rsidR="00FF2D6E" w:rsidRDefault="00FF2D6E" w:rsidP="00B04209">
      <w:pPr>
        <w:spacing w:after="0"/>
        <w:jc w:val="center"/>
        <w:rPr>
          <w:b/>
          <w:sz w:val="28"/>
          <w:szCs w:val="28"/>
        </w:rPr>
      </w:pPr>
    </w:p>
    <w:p w:rsidR="00FF2D6E" w:rsidRDefault="00FF2D6E" w:rsidP="00B04209">
      <w:pPr>
        <w:spacing w:after="0"/>
        <w:jc w:val="center"/>
        <w:rPr>
          <w:b/>
          <w:sz w:val="28"/>
          <w:szCs w:val="28"/>
        </w:rPr>
      </w:pPr>
    </w:p>
    <w:p w:rsidR="00B04209" w:rsidRDefault="00B04209" w:rsidP="00B04209">
      <w:pPr>
        <w:spacing w:after="0"/>
        <w:jc w:val="center"/>
        <w:rPr>
          <w:b/>
          <w:sz w:val="28"/>
          <w:szCs w:val="28"/>
        </w:rPr>
      </w:pPr>
      <w:r>
        <w:rPr>
          <w:b/>
          <w:sz w:val="28"/>
          <w:szCs w:val="28"/>
        </w:rPr>
        <w:lastRenderedPageBreak/>
        <w:t xml:space="preserve">La </w:t>
      </w:r>
      <w:proofErr w:type="spellStart"/>
      <w:r>
        <w:rPr>
          <w:b/>
          <w:sz w:val="28"/>
          <w:szCs w:val="28"/>
        </w:rPr>
        <w:t>dexaméthasone</w:t>
      </w:r>
      <w:proofErr w:type="spellEnd"/>
    </w:p>
    <w:p w:rsidR="00B04209" w:rsidRDefault="00B04209" w:rsidP="00B04209">
      <w:pPr>
        <w:spacing w:after="0"/>
        <w:rPr>
          <w:sz w:val="24"/>
          <w:szCs w:val="24"/>
        </w:rPr>
      </w:pPr>
    </w:p>
    <w:p w:rsidR="009A2BA9" w:rsidRDefault="004C58C0" w:rsidP="00B04209">
      <w:pPr>
        <w:spacing w:after="0"/>
        <w:rPr>
          <w:sz w:val="24"/>
          <w:szCs w:val="24"/>
        </w:rPr>
      </w:pPr>
      <w:r>
        <w:rPr>
          <w:sz w:val="24"/>
          <w:szCs w:val="24"/>
        </w:rPr>
        <w:t xml:space="preserve">La </w:t>
      </w:r>
      <w:proofErr w:type="spellStart"/>
      <w:r>
        <w:rPr>
          <w:sz w:val="24"/>
          <w:szCs w:val="24"/>
        </w:rPr>
        <w:t>dexaméthasone</w:t>
      </w:r>
      <w:proofErr w:type="spellEnd"/>
      <w:r>
        <w:rPr>
          <w:sz w:val="24"/>
          <w:szCs w:val="24"/>
        </w:rPr>
        <w:t xml:space="preserve"> est un antiinflammatoire puissant. C’est un stéroïde connu depuis de nombreuses années et 25 à 30 fois plus puissant que le </w:t>
      </w:r>
      <w:r w:rsidR="009A2BA9">
        <w:rPr>
          <w:sz w:val="24"/>
          <w:szCs w:val="24"/>
        </w:rPr>
        <w:t>gluco</w:t>
      </w:r>
      <w:r>
        <w:rPr>
          <w:sz w:val="24"/>
          <w:szCs w:val="24"/>
        </w:rPr>
        <w:t>corticoïde de référence, l’hydrocortisone. Elle peut bloquer l’action de la phospholipase A2 qui l</w:t>
      </w:r>
      <w:r w:rsidR="009A2BA9">
        <w:rPr>
          <w:sz w:val="24"/>
          <w:szCs w:val="24"/>
        </w:rPr>
        <w:t>i</w:t>
      </w:r>
      <w:r>
        <w:rPr>
          <w:sz w:val="24"/>
          <w:szCs w:val="24"/>
        </w:rPr>
        <w:t xml:space="preserve">bère de l’acide </w:t>
      </w:r>
    </w:p>
    <w:p w:rsidR="00B04209" w:rsidRDefault="004C58C0" w:rsidP="00B04209">
      <w:pPr>
        <w:spacing w:after="0"/>
        <w:rPr>
          <w:sz w:val="24"/>
          <w:szCs w:val="24"/>
        </w:rPr>
      </w:pPr>
      <w:proofErr w:type="spellStart"/>
      <w:proofErr w:type="gramStart"/>
      <w:r>
        <w:rPr>
          <w:sz w:val="24"/>
          <w:szCs w:val="24"/>
        </w:rPr>
        <w:t>arach</w:t>
      </w:r>
      <w:r w:rsidR="009A2BA9">
        <w:rPr>
          <w:sz w:val="24"/>
          <w:szCs w:val="24"/>
        </w:rPr>
        <w:t>i</w:t>
      </w:r>
      <w:r>
        <w:rPr>
          <w:sz w:val="24"/>
          <w:szCs w:val="24"/>
        </w:rPr>
        <w:t>donique</w:t>
      </w:r>
      <w:proofErr w:type="spellEnd"/>
      <w:proofErr w:type="gramEnd"/>
      <w:r>
        <w:rPr>
          <w:sz w:val="24"/>
          <w:szCs w:val="24"/>
        </w:rPr>
        <w:t xml:space="preserve"> </w:t>
      </w:r>
      <w:r w:rsidR="00064408">
        <w:rPr>
          <w:sz w:val="24"/>
          <w:szCs w:val="24"/>
        </w:rPr>
        <w:t>des p</w:t>
      </w:r>
      <w:r w:rsidR="00354053">
        <w:rPr>
          <w:sz w:val="24"/>
          <w:szCs w:val="24"/>
        </w:rPr>
        <w:t xml:space="preserve">hospholipides de la membrane cellulaire </w:t>
      </w:r>
      <w:r>
        <w:rPr>
          <w:sz w:val="24"/>
          <w:szCs w:val="24"/>
        </w:rPr>
        <w:t>après une agression cellulaire et par conséquent, la formation de prostaglandine</w:t>
      </w:r>
      <w:r w:rsidR="00064408">
        <w:rPr>
          <w:sz w:val="24"/>
          <w:szCs w:val="24"/>
        </w:rPr>
        <w:t>s</w:t>
      </w:r>
      <w:r>
        <w:rPr>
          <w:sz w:val="24"/>
          <w:szCs w:val="24"/>
        </w:rPr>
        <w:t xml:space="preserve"> </w:t>
      </w:r>
      <w:r w:rsidR="00064408">
        <w:rPr>
          <w:sz w:val="24"/>
          <w:szCs w:val="24"/>
        </w:rPr>
        <w:t>par les</w:t>
      </w:r>
      <w:r w:rsidR="009A2BA9">
        <w:rPr>
          <w:sz w:val="24"/>
          <w:szCs w:val="24"/>
        </w:rPr>
        <w:t xml:space="preserve"> cyclooxygénases et de leucotriène</w:t>
      </w:r>
      <w:r w:rsidR="00B12621">
        <w:rPr>
          <w:sz w:val="24"/>
          <w:szCs w:val="24"/>
        </w:rPr>
        <w:t xml:space="preserve"> par la </w:t>
      </w:r>
      <w:proofErr w:type="spellStart"/>
      <w:r w:rsidR="00B12621">
        <w:rPr>
          <w:sz w:val="24"/>
          <w:szCs w:val="24"/>
        </w:rPr>
        <w:t>lipo</w:t>
      </w:r>
      <w:proofErr w:type="spellEnd"/>
      <w:r w:rsidR="00B12621">
        <w:rPr>
          <w:sz w:val="24"/>
          <w:szCs w:val="24"/>
        </w:rPr>
        <w:t>-oxygénase (figure 6</w:t>
      </w:r>
      <w:r w:rsidR="00064408">
        <w:rPr>
          <w:sz w:val="24"/>
          <w:szCs w:val="24"/>
        </w:rPr>
        <w:t>)</w:t>
      </w:r>
      <w:r w:rsidR="009A2BA9">
        <w:rPr>
          <w:sz w:val="24"/>
          <w:szCs w:val="24"/>
        </w:rPr>
        <w:t>.</w:t>
      </w:r>
    </w:p>
    <w:p w:rsidR="009A2BA9" w:rsidRPr="00B04209" w:rsidRDefault="00354053" w:rsidP="009A2BA9">
      <w:pPr>
        <w:spacing w:after="0"/>
        <w:jc w:val="center"/>
        <w:rPr>
          <w:sz w:val="24"/>
          <w:szCs w:val="24"/>
        </w:rPr>
      </w:pPr>
      <w:r>
        <w:rPr>
          <w:noProof/>
          <w:sz w:val="24"/>
          <w:szCs w:val="24"/>
          <w:lang w:eastAsia="fr-BE"/>
        </w:rPr>
        <w:drawing>
          <wp:inline distT="0" distB="0" distL="0" distR="0">
            <wp:extent cx="4829175" cy="39338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lammation.jpg"/>
                    <pic:cNvPicPr/>
                  </pic:nvPicPr>
                  <pic:blipFill>
                    <a:blip r:embed="rId13">
                      <a:extLst>
                        <a:ext uri="{28A0092B-C50C-407E-A947-70E740481C1C}">
                          <a14:useLocalDpi xmlns:a14="http://schemas.microsoft.com/office/drawing/2010/main" val="0"/>
                        </a:ext>
                      </a:extLst>
                    </a:blip>
                    <a:stretch>
                      <a:fillRect/>
                    </a:stretch>
                  </pic:blipFill>
                  <pic:spPr>
                    <a:xfrm>
                      <a:off x="0" y="0"/>
                      <a:ext cx="4831751" cy="3935924"/>
                    </a:xfrm>
                    <a:prstGeom prst="rect">
                      <a:avLst/>
                    </a:prstGeom>
                  </pic:spPr>
                </pic:pic>
              </a:graphicData>
            </a:graphic>
          </wp:inline>
        </w:drawing>
      </w:r>
    </w:p>
    <w:p w:rsidR="00E01040" w:rsidRPr="009A2BA9" w:rsidRDefault="009A2BA9" w:rsidP="009A2BA9">
      <w:pPr>
        <w:spacing w:after="0"/>
        <w:ind w:left="1134"/>
        <w:jc w:val="center"/>
        <w:rPr>
          <w:sz w:val="24"/>
          <w:szCs w:val="24"/>
        </w:rPr>
      </w:pPr>
      <w:r w:rsidRPr="009A2BA9">
        <w:rPr>
          <w:sz w:val="24"/>
          <w:szCs w:val="24"/>
        </w:rPr>
        <w:t xml:space="preserve">Figure 6 – Schéma de la </w:t>
      </w:r>
      <w:r w:rsidR="00354053">
        <w:rPr>
          <w:sz w:val="24"/>
          <w:szCs w:val="24"/>
        </w:rPr>
        <w:t>r</w:t>
      </w:r>
      <w:r w:rsidRPr="009A2BA9">
        <w:rPr>
          <w:sz w:val="24"/>
          <w:szCs w:val="24"/>
        </w:rPr>
        <w:t xml:space="preserve">éaction inflammatoire </w:t>
      </w:r>
    </w:p>
    <w:p w:rsidR="009A2BA9" w:rsidRDefault="009A2BA9" w:rsidP="009A2BA9">
      <w:pPr>
        <w:spacing w:after="0"/>
        <w:ind w:left="1134"/>
        <w:jc w:val="center"/>
        <w:rPr>
          <w:sz w:val="24"/>
          <w:szCs w:val="24"/>
        </w:rPr>
      </w:pPr>
      <w:proofErr w:type="gramStart"/>
      <w:r w:rsidRPr="009A2BA9">
        <w:rPr>
          <w:sz w:val="24"/>
          <w:szCs w:val="24"/>
        </w:rPr>
        <w:t>et</w:t>
      </w:r>
      <w:proofErr w:type="gramEnd"/>
      <w:r w:rsidRPr="009A2BA9">
        <w:rPr>
          <w:sz w:val="24"/>
          <w:szCs w:val="24"/>
        </w:rPr>
        <w:t xml:space="preserve"> </w:t>
      </w:r>
      <w:r w:rsidR="00FF2D6E">
        <w:rPr>
          <w:sz w:val="24"/>
          <w:szCs w:val="24"/>
        </w:rPr>
        <w:t xml:space="preserve">du </w:t>
      </w:r>
      <w:r w:rsidRPr="009A2BA9">
        <w:rPr>
          <w:sz w:val="24"/>
          <w:szCs w:val="24"/>
        </w:rPr>
        <w:t>rôle des glucocorticoïdes</w:t>
      </w:r>
    </w:p>
    <w:p w:rsidR="00354053" w:rsidRDefault="00354053" w:rsidP="009A2BA9">
      <w:pPr>
        <w:spacing w:after="0"/>
        <w:ind w:left="1134"/>
        <w:jc w:val="center"/>
        <w:rPr>
          <w:sz w:val="24"/>
          <w:szCs w:val="24"/>
        </w:rPr>
      </w:pPr>
    </w:p>
    <w:p w:rsidR="00354053" w:rsidRDefault="00354053" w:rsidP="00E10E6B">
      <w:pPr>
        <w:spacing w:after="0"/>
        <w:rPr>
          <w:sz w:val="24"/>
          <w:szCs w:val="24"/>
        </w:rPr>
      </w:pPr>
      <w:r>
        <w:rPr>
          <w:sz w:val="24"/>
          <w:szCs w:val="24"/>
        </w:rPr>
        <w:t>Le 16 juin 2020 l’essai « </w:t>
      </w:r>
      <w:proofErr w:type="spellStart"/>
      <w:r>
        <w:rPr>
          <w:sz w:val="24"/>
          <w:szCs w:val="24"/>
        </w:rPr>
        <w:t>Recovery</w:t>
      </w:r>
      <w:proofErr w:type="spellEnd"/>
      <w:r>
        <w:rPr>
          <w:sz w:val="24"/>
          <w:szCs w:val="24"/>
        </w:rPr>
        <w:t> » de l’Université d’Oxford a annoncé que le médicament pouvait réduire le nombre de décès chez les patients les plus atteints (</w:t>
      </w:r>
      <w:r w:rsidR="00AC77C7">
        <w:rPr>
          <w:sz w:val="24"/>
          <w:szCs w:val="24"/>
        </w:rPr>
        <w:t xml:space="preserve">17). </w:t>
      </w:r>
    </w:p>
    <w:p w:rsidR="00AC77C7" w:rsidRDefault="00AC77C7" w:rsidP="00E10E6B">
      <w:pPr>
        <w:spacing w:after="0"/>
        <w:rPr>
          <w:sz w:val="24"/>
          <w:szCs w:val="24"/>
        </w:rPr>
      </w:pPr>
      <w:r>
        <w:rPr>
          <w:sz w:val="24"/>
          <w:szCs w:val="24"/>
        </w:rPr>
        <w:t xml:space="preserve">Cette étude a été critiquée bien qu’elle fait état d’un essai randomisé en double aveugle parce qu’il manque, selon certains, une description plus détaillée de la sélection des cas. </w:t>
      </w:r>
    </w:p>
    <w:p w:rsidR="00AC77C7" w:rsidRDefault="00AC77C7" w:rsidP="00E10E6B">
      <w:pPr>
        <w:spacing w:after="0"/>
        <w:rPr>
          <w:sz w:val="24"/>
          <w:szCs w:val="24"/>
        </w:rPr>
      </w:pPr>
      <w:r>
        <w:rPr>
          <w:sz w:val="24"/>
          <w:szCs w:val="24"/>
        </w:rPr>
        <w:t xml:space="preserve">Il est cependant logique </w:t>
      </w:r>
      <w:r w:rsidR="0043721A">
        <w:rPr>
          <w:sz w:val="24"/>
          <w:szCs w:val="24"/>
        </w:rPr>
        <w:t xml:space="preserve">de penser qu’il sera surtout utile chez les patients victimes de formes graves ayant besoin d’une aide respiratoire et </w:t>
      </w:r>
      <w:r w:rsidR="00B12621">
        <w:rPr>
          <w:sz w:val="24"/>
          <w:szCs w:val="24"/>
        </w:rPr>
        <w:t xml:space="preserve">de </w:t>
      </w:r>
      <w:r w:rsidR="00BF4DD1">
        <w:rPr>
          <w:sz w:val="24"/>
          <w:szCs w:val="24"/>
        </w:rPr>
        <w:t xml:space="preserve">freiner un </w:t>
      </w:r>
      <w:r w:rsidR="0043721A">
        <w:rPr>
          <w:sz w:val="24"/>
          <w:szCs w:val="24"/>
        </w:rPr>
        <w:t>excès de la réaction inflammatoire. Administré trop tôt il</w:t>
      </w:r>
      <w:r w:rsidR="00E10E6B">
        <w:rPr>
          <w:sz w:val="24"/>
          <w:szCs w:val="24"/>
        </w:rPr>
        <w:t xml:space="preserve"> </w:t>
      </w:r>
      <w:r w:rsidR="0043721A">
        <w:rPr>
          <w:sz w:val="24"/>
          <w:szCs w:val="24"/>
        </w:rPr>
        <w:t>pourrait entraver l’élimination du virus.</w:t>
      </w:r>
    </w:p>
    <w:p w:rsidR="00E10E6B" w:rsidRDefault="00E10E6B" w:rsidP="00E10E6B">
      <w:pPr>
        <w:spacing w:after="0"/>
        <w:rPr>
          <w:sz w:val="24"/>
          <w:szCs w:val="24"/>
        </w:rPr>
      </w:pPr>
      <w:r>
        <w:rPr>
          <w:sz w:val="24"/>
          <w:szCs w:val="24"/>
        </w:rPr>
        <w:t>La communication originale ne précise pas les doses ni la durée du traitement.</w:t>
      </w:r>
    </w:p>
    <w:p w:rsidR="004F3F47" w:rsidRDefault="004F3F47" w:rsidP="00E10E6B">
      <w:pPr>
        <w:spacing w:after="0"/>
        <w:rPr>
          <w:sz w:val="24"/>
          <w:szCs w:val="24"/>
        </w:rPr>
      </w:pPr>
    </w:p>
    <w:p w:rsidR="00FF2D6E" w:rsidRDefault="00036BF4" w:rsidP="00036BF4">
      <w:pPr>
        <w:tabs>
          <w:tab w:val="center" w:pos="4536"/>
          <w:tab w:val="left" w:pos="6885"/>
        </w:tabs>
        <w:spacing w:after="0"/>
        <w:rPr>
          <w:b/>
          <w:sz w:val="28"/>
          <w:szCs w:val="28"/>
        </w:rPr>
      </w:pPr>
      <w:r>
        <w:rPr>
          <w:b/>
          <w:sz w:val="28"/>
          <w:szCs w:val="28"/>
        </w:rPr>
        <w:tab/>
      </w:r>
    </w:p>
    <w:p w:rsidR="00FF2D6E" w:rsidRDefault="00FF2D6E" w:rsidP="00036BF4">
      <w:pPr>
        <w:tabs>
          <w:tab w:val="center" w:pos="4536"/>
          <w:tab w:val="left" w:pos="6885"/>
        </w:tabs>
        <w:spacing w:after="0"/>
        <w:rPr>
          <w:b/>
          <w:sz w:val="28"/>
          <w:szCs w:val="28"/>
        </w:rPr>
      </w:pPr>
    </w:p>
    <w:p w:rsidR="004F3F47" w:rsidRDefault="004F3F47" w:rsidP="00FF2D6E">
      <w:pPr>
        <w:tabs>
          <w:tab w:val="center" w:pos="4536"/>
          <w:tab w:val="left" w:pos="6885"/>
        </w:tabs>
        <w:spacing w:after="0"/>
        <w:jc w:val="center"/>
        <w:rPr>
          <w:sz w:val="24"/>
          <w:szCs w:val="24"/>
        </w:rPr>
      </w:pPr>
      <w:r>
        <w:rPr>
          <w:b/>
          <w:sz w:val="28"/>
          <w:szCs w:val="28"/>
        </w:rPr>
        <w:lastRenderedPageBreak/>
        <w:t>L’</w:t>
      </w:r>
      <w:proofErr w:type="spellStart"/>
      <w:r>
        <w:rPr>
          <w:b/>
          <w:sz w:val="28"/>
          <w:szCs w:val="28"/>
        </w:rPr>
        <w:t>ivermectine</w:t>
      </w:r>
      <w:proofErr w:type="spellEnd"/>
    </w:p>
    <w:p w:rsidR="004F3F47" w:rsidRDefault="004F3F47" w:rsidP="004F3F47">
      <w:pPr>
        <w:spacing w:after="0"/>
        <w:jc w:val="center"/>
        <w:rPr>
          <w:sz w:val="24"/>
          <w:szCs w:val="24"/>
        </w:rPr>
      </w:pPr>
    </w:p>
    <w:p w:rsidR="004F3F47" w:rsidRDefault="004F3F47" w:rsidP="004F3F47">
      <w:pPr>
        <w:spacing w:after="0"/>
        <w:rPr>
          <w:sz w:val="24"/>
          <w:szCs w:val="24"/>
        </w:rPr>
      </w:pPr>
      <w:r>
        <w:rPr>
          <w:sz w:val="24"/>
          <w:szCs w:val="24"/>
        </w:rPr>
        <w:t>L’</w:t>
      </w:r>
      <w:proofErr w:type="spellStart"/>
      <w:r>
        <w:rPr>
          <w:sz w:val="24"/>
          <w:szCs w:val="24"/>
        </w:rPr>
        <w:t>ivermectine</w:t>
      </w:r>
      <w:proofErr w:type="spellEnd"/>
      <w:r>
        <w:rPr>
          <w:sz w:val="24"/>
          <w:szCs w:val="24"/>
        </w:rPr>
        <w:t xml:space="preserve"> est un antipara</w:t>
      </w:r>
      <w:r w:rsidR="00B12621">
        <w:rPr>
          <w:sz w:val="24"/>
          <w:szCs w:val="24"/>
        </w:rPr>
        <w:t xml:space="preserve">sitaire dont </w:t>
      </w:r>
      <w:proofErr w:type="gramStart"/>
      <w:r w:rsidR="00B12621">
        <w:rPr>
          <w:sz w:val="24"/>
          <w:szCs w:val="24"/>
        </w:rPr>
        <w:t>a</w:t>
      </w:r>
      <w:proofErr w:type="gramEnd"/>
      <w:r w:rsidR="00B12621">
        <w:rPr>
          <w:sz w:val="24"/>
          <w:szCs w:val="24"/>
        </w:rPr>
        <w:t xml:space="preserve"> découvert qu’il</w:t>
      </w:r>
      <w:r>
        <w:rPr>
          <w:sz w:val="24"/>
          <w:szCs w:val="24"/>
        </w:rPr>
        <w:t xml:space="preserve"> possédait une action an</w:t>
      </w:r>
      <w:r w:rsidR="00B12621">
        <w:rPr>
          <w:sz w:val="24"/>
          <w:szCs w:val="24"/>
        </w:rPr>
        <w:t>t</w:t>
      </w:r>
      <w:r>
        <w:rPr>
          <w:sz w:val="24"/>
          <w:szCs w:val="24"/>
        </w:rPr>
        <w:t>i-virus in vitro</w:t>
      </w:r>
      <w:r w:rsidR="00785093">
        <w:rPr>
          <w:sz w:val="24"/>
          <w:szCs w:val="24"/>
        </w:rPr>
        <w:t xml:space="preserve"> (18)</w:t>
      </w:r>
      <w:r>
        <w:rPr>
          <w:sz w:val="24"/>
          <w:szCs w:val="24"/>
        </w:rPr>
        <w:t xml:space="preserve">. </w:t>
      </w:r>
    </w:p>
    <w:p w:rsidR="00036BF4" w:rsidRDefault="004F3F47" w:rsidP="004F3F47">
      <w:pPr>
        <w:spacing w:after="0"/>
        <w:rPr>
          <w:sz w:val="24"/>
          <w:szCs w:val="24"/>
        </w:rPr>
      </w:pPr>
      <w:r>
        <w:rPr>
          <w:sz w:val="24"/>
          <w:szCs w:val="24"/>
        </w:rPr>
        <w:t>Son pouvoi</w:t>
      </w:r>
      <w:r w:rsidR="00036BF4">
        <w:rPr>
          <w:sz w:val="24"/>
          <w:szCs w:val="24"/>
        </w:rPr>
        <w:t xml:space="preserve">r antiparasitaire est dû </w:t>
      </w:r>
      <w:r w:rsidR="00B12621">
        <w:rPr>
          <w:sz w:val="24"/>
          <w:szCs w:val="24"/>
        </w:rPr>
        <w:t xml:space="preserve">à </w:t>
      </w:r>
      <w:r w:rsidR="00036BF4">
        <w:rPr>
          <w:sz w:val="24"/>
          <w:szCs w:val="24"/>
        </w:rPr>
        <w:t xml:space="preserve">une action sur le système nerveux et la fonction </w:t>
      </w:r>
      <w:r w:rsidR="00B12621">
        <w:rPr>
          <w:sz w:val="24"/>
          <w:szCs w:val="24"/>
        </w:rPr>
        <w:t>musculaire du parasite dont il</w:t>
      </w:r>
      <w:r w:rsidR="00036BF4">
        <w:rPr>
          <w:sz w:val="24"/>
          <w:szCs w:val="24"/>
        </w:rPr>
        <w:t xml:space="preserve"> inhibe la neurotransmission. </w:t>
      </w:r>
    </w:p>
    <w:p w:rsidR="00036BF4" w:rsidRDefault="00785093" w:rsidP="004F3F47">
      <w:pPr>
        <w:spacing w:after="0"/>
        <w:rPr>
          <w:sz w:val="24"/>
          <w:szCs w:val="24"/>
        </w:rPr>
      </w:pPr>
      <w:r>
        <w:rPr>
          <w:sz w:val="24"/>
          <w:szCs w:val="24"/>
        </w:rPr>
        <w:t>Son action anti-virus a été démo</w:t>
      </w:r>
      <w:r w:rsidR="00036BF4">
        <w:rPr>
          <w:sz w:val="24"/>
          <w:szCs w:val="24"/>
        </w:rPr>
        <w:t>ntrée in vitro sur différent</w:t>
      </w:r>
      <w:r>
        <w:rPr>
          <w:sz w:val="24"/>
          <w:szCs w:val="24"/>
        </w:rPr>
        <w:t>e</w:t>
      </w:r>
      <w:r w:rsidR="00036BF4">
        <w:rPr>
          <w:sz w:val="24"/>
          <w:szCs w:val="24"/>
        </w:rPr>
        <w:t xml:space="preserve">s cultures. </w:t>
      </w:r>
      <w:r>
        <w:rPr>
          <w:sz w:val="24"/>
          <w:szCs w:val="24"/>
        </w:rPr>
        <w:t xml:space="preserve">La molécule « empêcherait le coronavirus d’atténuer la capacité des cellules hôtes </w:t>
      </w:r>
      <w:r w:rsidR="00B12621">
        <w:rPr>
          <w:sz w:val="24"/>
          <w:szCs w:val="24"/>
        </w:rPr>
        <w:t>à l’éliminer », ce qui revient à</w:t>
      </w:r>
      <w:r>
        <w:rPr>
          <w:sz w:val="24"/>
          <w:szCs w:val="24"/>
        </w:rPr>
        <w:t xml:space="preserve"> dire que son élimination serait facilitée…</w:t>
      </w:r>
    </w:p>
    <w:p w:rsidR="00040E4F" w:rsidRDefault="00040E4F" w:rsidP="004F3F47">
      <w:pPr>
        <w:spacing w:after="0"/>
        <w:rPr>
          <w:sz w:val="24"/>
          <w:szCs w:val="24"/>
        </w:rPr>
      </w:pPr>
    </w:p>
    <w:p w:rsidR="00040E4F" w:rsidRDefault="00040E4F" w:rsidP="00040E4F">
      <w:pPr>
        <w:spacing w:after="0"/>
        <w:jc w:val="center"/>
        <w:rPr>
          <w:sz w:val="24"/>
          <w:szCs w:val="24"/>
        </w:rPr>
      </w:pPr>
      <w:r w:rsidRPr="00040E4F">
        <w:rPr>
          <w:b/>
          <w:sz w:val="28"/>
          <w:szCs w:val="28"/>
        </w:rPr>
        <w:t>Les anticoagulants</w:t>
      </w:r>
    </w:p>
    <w:p w:rsidR="00040E4F" w:rsidRDefault="00040E4F" w:rsidP="00040E4F">
      <w:pPr>
        <w:spacing w:after="0"/>
        <w:jc w:val="center"/>
        <w:rPr>
          <w:sz w:val="24"/>
          <w:szCs w:val="24"/>
        </w:rPr>
      </w:pPr>
    </w:p>
    <w:p w:rsidR="00040E4F" w:rsidRDefault="00463054" w:rsidP="00463054">
      <w:pPr>
        <w:spacing w:after="0"/>
        <w:rPr>
          <w:sz w:val="24"/>
          <w:szCs w:val="24"/>
        </w:rPr>
      </w:pPr>
      <w:r>
        <w:rPr>
          <w:sz w:val="24"/>
          <w:szCs w:val="24"/>
        </w:rPr>
        <w:t>Depuis le début de l’épidémie, on a constaté que parallèlement à l’atteinte respiratoire, survenai</w:t>
      </w:r>
      <w:r w:rsidR="00B12621">
        <w:rPr>
          <w:sz w:val="24"/>
          <w:szCs w:val="24"/>
        </w:rPr>
        <w:t>en</w:t>
      </w:r>
      <w:r>
        <w:rPr>
          <w:sz w:val="24"/>
          <w:szCs w:val="24"/>
        </w:rPr>
        <w:t>t beaucoup de pathologie</w:t>
      </w:r>
      <w:r w:rsidR="00B12621">
        <w:rPr>
          <w:sz w:val="24"/>
          <w:szCs w:val="24"/>
        </w:rPr>
        <w:t>s</w:t>
      </w:r>
      <w:r>
        <w:rPr>
          <w:sz w:val="24"/>
          <w:szCs w:val="24"/>
        </w:rPr>
        <w:t xml:space="preserve"> vasculaire</w:t>
      </w:r>
      <w:r w:rsidR="00B12621">
        <w:rPr>
          <w:sz w:val="24"/>
          <w:szCs w:val="24"/>
        </w:rPr>
        <w:t>s</w:t>
      </w:r>
      <w:r>
        <w:rPr>
          <w:sz w:val="24"/>
          <w:szCs w:val="24"/>
        </w:rPr>
        <w:t xml:space="preserve"> avec une fréquence anormale d’embolies pulmonaires. </w:t>
      </w:r>
      <w:r w:rsidR="0035712F">
        <w:rPr>
          <w:sz w:val="24"/>
          <w:szCs w:val="24"/>
        </w:rPr>
        <w:t xml:space="preserve">De plus des examens post-mortem ont montré des atteintes de cellules endothéliales vasculaires associées à des </w:t>
      </w:r>
      <w:proofErr w:type="gramStart"/>
      <w:r w:rsidR="00D75514">
        <w:rPr>
          <w:sz w:val="24"/>
          <w:szCs w:val="24"/>
        </w:rPr>
        <w:t>micro</w:t>
      </w:r>
      <w:proofErr w:type="gramEnd"/>
      <w:r w:rsidR="00D75514">
        <w:rPr>
          <w:sz w:val="24"/>
          <w:szCs w:val="24"/>
        </w:rPr>
        <w:t xml:space="preserve"> thromboses</w:t>
      </w:r>
      <w:r w:rsidR="0035712F">
        <w:rPr>
          <w:sz w:val="24"/>
          <w:szCs w:val="24"/>
        </w:rPr>
        <w:t xml:space="preserve">. Cela suggère que les infections à COVID-19 sont certes respiratoires mais aussi systémiques (19). </w:t>
      </w:r>
    </w:p>
    <w:p w:rsidR="00386D64" w:rsidRDefault="00D75514" w:rsidP="00D75514">
      <w:pPr>
        <w:spacing w:after="0"/>
        <w:rPr>
          <w:sz w:val="24"/>
          <w:szCs w:val="24"/>
        </w:rPr>
      </w:pPr>
      <w:r>
        <w:rPr>
          <w:sz w:val="24"/>
          <w:szCs w:val="24"/>
        </w:rPr>
        <w:t>Cela serait dû à la présence de récepteurs de l’AC</w:t>
      </w:r>
      <w:r w:rsidR="00BF4DD1">
        <w:rPr>
          <w:sz w:val="24"/>
          <w:szCs w:val="24"/>
        </w:rPr>
        <w:t>E</w:t>
      </w:r>
      <w:r>
        <w:rPr>
          <w:sz w:val="24"/>
          <w:szCs w:val="24"/>
        </w:rPr>
        <w:t xml:space="preserve"> 2 dans l’endothélium.</w:t>
      </w:r>
    </w:p>
    <w:p w:rsidR="00D75514" w:rsidRDefault="00D75514" w:rsidP="00D75514">
      <w:pPr>
        <w:spacing w:after="0"/>
        <w:rPr>
          <w:sz w:val="24"/>
          <w:szCs w:val="24"/>
        </w:rPr>
      </w:pPr>
      <w:r>
        <w:rPr>
          <w:sz w:val="24"/>
          <w:szCs w:val="24"/>
        </w:rPr>
        <w:t>C’est pourquoi plusieurs auteurs (20) ont suggéré d’utiliser des anticoagulants dans le décours de la maladie. L’héparine a été citée mais on ne trouve encore aucune indication ni sur le schéma de traitement ni les doses.</w:t>
      </w:r>
      <w:r w:rsidR="00FF2D6E">
        <w:rPr>
          <w:sz w:val="24"/>
          <w:szCs w:val="24"/>
        </w:rPr>
        <w:t xml:space="preserve"> De plus des chercheurs de l’UCL pensent que ces accidents seraient dus à l’immobilité plus qu’à l’infection virale.</w:t>
      </w:r>
    </w:p>
    <w:p w:rsidR="009B17F5" w:rsidRDefault="009B17F5" w:rsidP="00D75514">
      <w:pPr>
        <w:spacing w:after="0"/>
        <w:rPr>
          <w:sz w:val="24"/>
          <w:szCs w:val="24"/>
        </w:rPr>
      </w:pPr>
    </w:p>
    <w:p w:rsidR="009B17F5" w:rsidRDefault="009B17F5" w:rsidP="009B17F5">
      <w:pPr>
        <w:spacing w:after="0"/>
        <w:jc w:val="center"/>
        <w:rPr>
          <w:sz w:val="28"/>
          <w:szCs w:val="28"/>
        </w:rPr>
      </w:pPr>
      <w:r>
        <w:rPr>
          <w:b/>
          <w:sz w:val="28"/>
          <w:szCs w:val="28"/>
        </w:rPr>
        <w:t xml:space="preserve">Le </w:t>
      </w:r>
      <w:proofErr w:type="spellStart"/>
      <w:r>
        <w:rPr>
          <w:b/>
          <w:sz w:val="28"/>
          <w:szCs w:val="28"/>
        </w:rPr>
        <w:t>sarconeos</w:t>
      </w:r>
      <w:proofErr w:type="spellEnd"/>
    </w:p>
    <w:p w:rsidR="009B17F5" w:rsidRDefault="009B17F5" w:rsidP="009B17F5">
      <w:pPr>
        <w:spacing w:after="0"/>
        <w:rPr>
          <w:sz w:val="24"/>
          <w:szCs w:val="24"/>
        </w:rPr>
      </w:pPr>
    </w:p>
    <w:p w:rsidR="009B17F5" w:rsidRDefault="00B36F69" w:rsidP="009B17F5">
      <w:pPr>
        <w:spacing w:after="0"/>
        <w:rPr>
          <w:sz w:val="24"/>
          <w:szCs w:val="24"/>
        </w:rPr>
      </w:pPr>
      <w:r>
        <w:rPr>
          <w:sz w:val="24"/>
          <w:szCs w:val="24"/>
        </w:rPr>
        <w:t xml:space="preserve">Le laboratoire </w:t>
      </w:r>
      <w:proofErr w:type="spellStart"/>
      <w:r>
        <w:rPr>
          <w:sz w:val="24"/>
          <w:szCs w:val="24"/>
        </w:rPr>
        <w:t>Biophytis</w:t>
      </w:r>
      <w:proofErr w:type="spellEnd"/>
      <w:r>
        <w:rPr>
          <w:sz w:val="24"/>
          <w:szCs w:val="24"/>
        </w:rPr>
        <w:t xml:space="preserve"> (21) propose un médicament, le </w:t>
      </w:r>
      <w:proofErr w:type="spellStart"/>
      <w:r>
        <w:rPr>
          <w:sz w:val="24"/>
          <w:szCs w:val="24"/>
        </w:rPr>
        <w:t>sarconeos</w:t>
      </w:r>
      <w:proofErr w:type="spellEnd"/>
      <w:r>
        <w:rPr>
          <w:sz w:val="24"/>
          <w:szCs w:val="24"/>
        </w:rPr>
        <w:t>, qui a fait ses preuves pour soutenir la fonction respiratoire des enfants atteints d’une myopathie de Duchenne. Fort de cette expérience il propose de l’essayer chez les patients atteints d’une forme grave du COVID-19 qui, à un certain stade de l’affection, souffrent d’une faiblesse musculaire des muscles de la respiration.</w:t>
      </w:r>
    </w:p>
    <w:p w:rsidR="00AC361E" w:rsidRDefault="00AC361E" w:rsidP="009B17F5">
      <w:pPr>
        <w:spacing w:after="0"/>
        <w:rPr>
          <w:sz w:val="24"/>
          <w:szCs w:val="24"/>
        </w:rPr>
      </w:pPr>
      <w:r>
        <w:rPr>
          <w:sz w:val="24"/>
          <w:szCs w:val="24"/>
        </w:rPr>
        <w:t>Ce médicament agirait en activant le « récepteur MAS » un élément clé du système rénine-angiotensine dont on a vu le rôle centra</w:t>
      </w:r>
      <w:r w:rsidR="0006183D">
        <w:rPr>
          <w:sz w:val="24"/>
          <w:szCs w:val="24"/>
        </w:rPr>
        <w:t>l dans la pathologie due au COVI</w:t>
      </w:r>
      <w:r>
        <w:rPr>
          <w:sz w:val="24"/>
          <w:szCs w:val="24"/>
        </w:rPr>
        <w:t>D – 19.</w:t>
      </w:r>
    </w:p>
    <w:p w:rsidR="00AC361E" w:rsidRDefault="00AC361E" w:rsidP="009B17F5">
      <w:pPr>
        <w:spacing w:after="0"/>
        <w:rPr>
          <w:sz w:val="24"/>
          <w:szCs w:val="24"/>
        </w:rPr>
      </w:pPr>
      <w:r>
        <w:rPr>
          <w:sz w:val="24"/>
          <w:szCs w:val="24"/>
        </w:rPr>
        <w:t>Les essais ont été approuvés en principe mais on ne trouve pas encore de rapport d’essais cliniques.</w:t>
      </w:r>
    </w:p>
    <w:p w:rsidR="00966A54" w:rsidRDefault="00966A54" w:rsidP="009B17F5">
      <w:pPr>
        <w:spacing w:after="0"/>
        <w:rPr>
          <w:sz w:val="24"/>
          <w:szCs w:val="24"/>
        </w:rPr>
      </w:pPr>
    </w:p>
    <w:p w:rsidR="00966A54" w:rsidRDefault="00966A54" w:rsidP="00966A54">
      <w:pPr>
        <w:spacing w:after="0"/>
        <w:jc w:val="center"/>
        <w:rPr>
          <w:sz w:val="24"/>
          <w:szCs w:val="24"/>
        </w:rPr>
      </w:pPr>
      <w:r>
        <w:rPr>
          <w:b/>
          <w:sz w:val="28"/>
          <w:szCs w:val="28"/>
        </w:rPr>
        <w:t>Plasma de convalescent</w:t>
      </w:r>
    </w:p>
    <w:p w:rsidR="00966A54" w:rsidRDefault="00966A54" w:rsidP="00966A54">
      <w:pPr>
        <w:spacing w:after="0"/>
        <w:jc w:val="center"/>
        <w:rPr>
          <w:sz w:val="24"/>
          <w:szCs w:val="24"/>
        </w:rPr>
      </w:pPr>
    </w:p>
    <w:p w:rsidR="00966A54" w:rsidRDefault="00225B95" w:rsidP="00966A54">
      <w:pPr>
        <w:spacing w:after="0"/>
        <w:rPr>
          <w:sz w:val="24"/>
          <w:szCs w:val="24"/>
        </w:rPr>
      </w:pPr>
      <w:r>
        <w:rPr>
          <w:sz w:val="24"/>
          <w:szCs w:val="24"/>
        </w:rPr>
        <w:t>La théra</w:t>
      </w:r>
      <w:r w:rsidR="00370DD0">
        <w:rPr>
          <w:sz w:val="24"/>
          <w:szCs w:val="24"/>
        </w:rPr>
        <w:t>pie par l’administration d’</w:t>
      </w:r>
      <w:r>
        <w:rPr>
          <w:sz w:val="24"/>
          <w:szCs w:val="24"/>
        </w:rPr>
        <w:t xml:space="preserve"> anticorps passifs présents dans le plasma de patients infectés par des virus tels ceux de la </w:t>
      </w:r>
      <w:proofErr w:type="spellStart"/>
      <w:r>
        <w:rPr>
          <w:sz w:val="24"/>
          <w:szCs w:val="24"/>
        </w:rPr>
        <w:t>polyo</w:t>
      </w:r>
      <w:proofErr w:type="spellEnd"/>
      <w:r>
        <w:rPr>
          <w:sz w:val="24"/>
          <w:szCs w:val="24"/>
        </w:rPr>
        <w:t>, de la r</w:t>
      </w:r>
      <w:r w:rsidR="00FF2D6E">
        <w:rPr>
          <w:sz w:val="24"/>
          <w:szCs w:val="24"/>
        </w:rPr>
        <w:t>o</w:t>
      </w:r>
      <w:r>
        <w:rPr>
          <w:sz w:val="24"/>
          <w:szCs w:val="24"/>
        </w:rPr>
        <w:t>ugeole, de la grippe saisonnière et d’</w:t>
      </w:r>
      <w:r w:rsidR="003F1714">
        <w:rPr>
          <w:sz w:val="24"/>
          <w:szCs w:val="24"/>
        </w:rPr>
        <w:t>autres, a</w:t>
      </w:r>
      <w:r>
        <w:rPr>
          <w:sz w:val="24"/>
          <w:szCs w:val="24"/>
        </w:rPr>
        <w:t xml:space="preserve"> induit la notion que des anticorps présents dans le plasma de convalescents du COVID -19 pourraient être utilisés comme soutien au traitement de cette infection (22).</w:t>
      </w:r>
    </w:p>
    <w:p w:rsidR="003F1714" w:rsidRDefault="003F1714" w:rsidP="00966A54">
      <w:pPr>
        <w:spacing w:after="0"/>
        <w:rPr>
          <w:sz w:val="24"/>
          <w:szCs w:val="24"/>
        </w:rPr>
      </w:pPr>
    </w:p>
    <w:p w:rsidR="003F1714" w:rsidRDefault="003F1714" w:rsidP="00966A54">
      <w:pPr>
        <w:spacing w:after="0"/>
        <w:rPr>
          <w:sz w:val="24"/>
          <w:szCs w:val="24"/>
        </w:rPr>
      </w:pPr>
      <w:r>
        <w:rPr>
          <w:sz w:val="24"/>
          <w:szCs w:val="24"/>
        </w:rPr>
        <w:t xml:space="preserve">Cette expérience se heurte à la connaissance incomplète que l’on a à ce jour de l’importance de la présence de ces anticorps anti-COVID-19 et de leur pouvoir réel de protection. En outre les spécialistes redoutent le risque d’administrer du virus résiduel en même temps que les anticorps </w:t>
      </w:r>
      <w:r w:rsidR="00CF1674">
        <w:rPr>
          <w:sz w:val="24"/>
          <w:szCs w:val="24"/>
        </w:rPr>
        <w:t>avec celui</w:t>
      </w:r>
      <w:r>
        <w:rPr>
          <w:sz w:val="24"/>
          <w:szCs w:val="24"/>
        </w:rPr>
        <w:t xml:space="preserve"> d’une réactivation.</w:t>
      </w:r>
    </w:p>
    <w:p w:rsidR="003F1714" w:rsidRDefault="003F1714" w:rsidP="00966A54">
      <w:pPr>
        <w:spacing w:after="0"/>
        <w:rPr>
          <w:sz w:val="24"/>
          <w:szCs w:val="24"/>
        </w:rPr>
      </w:pPr>
      <w:r>
        <w:rPr>
          <w:sz w:val="24"/>
          <w:szCs w:val="24"/>
        </w:rPr>
        <w:t>A ce jour de nombreux essais sont en cours et de tels accidents n’ont pas encore été signalés.</w:t>
      </w:r>
      <w:r w:rsidR="00CF1674">
        <w:rPr>
          <w:sz w:val="24"/>
          <w:szCs w:val="24"/>
        </w:rPr>
        <w:t xml:space="preserve"> Des recommandations étayées par une réelle expérience sont attendues.</w:t>
      </w:r>
    </w:p>
    <w:p w:rsidR="00FF2D6E" w:rsidRDefault="00FF2D6E" w:rsidP="00CF1674">
      <w:pPr>
        <w:spacing w:after="0"/>
        <w:jc w:val="center"/>
        <w:rPr>
          <w:b/>
          <w:sz w:val="28"/>
          <w:szCs w:val="28"/>
        </w:rPr>
      </w:pPr>
    </w:p>
    <w:p w:rsidR="003F1714" w:rsidRDefault="006401C1" w:rsidP="00CF1674">
      <w:pPr>
        <w:spacing w:after="0"/>
        <w:jc w:val="center"/>
        <w:rPr>
          <w:b/>
          <w:sz w:val="28"/>
          <w:szCs w:val="28"/>
        </w:rPr>
      </w:pPr>
      <w:r>
        <w:rPr>
          <w:b/>
          <w:sz w:val="28"/>
          <w:szCs w:val="28"/>
        </w:rPr>
        <w:t>Essai de synthèse d</w:t>
      </w:r>
      <w:r w:rsidR="00CF1674">
        <w:rPr>
          <w:b/>
          <w:sz w:val="28"/>
          <w:szCs w:val="28"/>
        </w:rPr>
        <w:t>es traitements proposés</w:t>
      </w:r>
    </w:p>
    <w:p w:rsidR="00CF1674" w:rsidRDefault="00CF1674" w:rsidP="00CF1674">
      <w:pPr>
        <w:spacing w:after="0"/>
        <w:rPr>
          <w:b/>
          <w:sz w:val="24"/>
          <w:szCs w:val="24"/>
        </w:rPr>
      </w:pPr>
    </w:p>
    <w:p w:rsidR="00CF1674" w:rsidRDefault="00CF1674" w:rsidP="00CF1674">
      <w:pPr>
        <w:spacing w:after="0"/>
        <w:rPr>
          <w:sz w:val="24"/>
          <w:szCs w:val="24"/>
        </w:rPr>
      </w:pPr>
      <w:r w:rsidRPr="00CF1674">
        <w:rPr>
          <w:sz w:val="24"/>
          <w:szCs w:val="24"/>
        </w:rPr>
        <w:t xml:space="preserve">Devant </w:t>
      </w:r>
      <w:r w:rsidR="002349E0">
        <w:rPr>
          <w:sz w:val="24"/>
          <w:szCs w:val="24"/>
        </w:rPr>
        <w:t>la multiplicité des essais thérapeutiques, devant l’ignorance de l’évolution dans le temps de ce nouveau virus, il est vraiment difficile de se faire une opinion sur la validité des publications. Une méta-étude (23) fait le bilan</w:t>
      </w:r>
      <w:r w:rsidR="005147AE">
        <w:rPr>
          <w:sz w:val="24"/>
          <w:szCs w:val="24"/>
        </w:rPr>
        <w:t xml:space="preserve"> des thérapeutiques utilisées da</w:t>
      </w:r>
      <w:r w:rsidR="002349E0">
        <w:rPr>
          <w:sz w:val="24"/>
          <w:szCs w:val="24"/>
        </w:rPr>
        <w:t>ns la</w:t>
      </w:r>
      <w:r w:rsidR="005147AE">
        <w:rPr>
          <w:sz w:val="24"/>
          <w:szCs w:val="24"/>
        </w:rPr>
        <w:t xml:space="preserve"> </w:t>
      </w:r>
      <w:r w:rsidR="002349E0">
        <w:rPr>
          <w:sz w:val="24"/>
          <w:szCs w:val="24"/>
        </w:rPr>
        <w:t>pr</w:t>
      </w:r>
      <w:r w:rsidR="00B74CA3">
        <w:rPr>
          <w:sz w:val="24"/>
          <w:szCs w:val="24"/>
        </w:rPr>
        <w:t>emière partie du pic épidémique entre le 1</w:t>
      </w:r>
      <w:r w:rsidR="00B74CA3" w:rsidRPr="00B74CA3">
        <w:rPr>
          <w:sz w:val="24"/>
          <w:szCs w:val="24"/>
          <w:vertAlign w:val="superscript"/>
        </w:rPr>
        <w:t>er</w:t>
      </w:r>
      <w:r w:rsidR="00B74CA3">
        <w:rPr>
          <w:sz w:val="24"/>
          <w:szCs w:val="24"/>
        </w:rPr>
        <w:t xml:space="preserve"> décembre 2019 et le 27 mars 2020.</w:t>
      </w:r>
    </w:p>
    <w:p w:rsidR="002349E0" w:rsidRDefault="002349E0" w:rsidP="002349E0">
      <w:pPr>
        <w:spacing w:after="0"/>
        <w:jc w:val="center"/>
        <w:rPr>
          <w:sz w:val="24"/>
          <w:szCs w:val="24"/>
        </w:rPr>
      </w:pPr>
      <w:r>
        <w:rPr>
          <w:noProof/>
          <w:sz w:val="24"/>
          <w:szCs w:val="24"/>
          <w:lang w:eastAsia="fr-BE"/>
        </w:rPr>
        <w:drawing>
          <wp:inline distT="0" distB="0" distL="0" distR="0">
            <wp:extent cx="5105400" cy="2968952"/>
            <wp:effectExtent l="0" t="0" r="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id trait.jpg"/>
                    <pic:cNvPicPr/>
                  </pic:nvPicPr>
                  <pic:blipFill>
                    <a:blip r:embed="rId14">
                      <a:extLst>
                        <a:ext uri="{28A0092B-C50C-407E-A947-70E740481C1C}">
                          <a14:useLocalDpi xmlns:a14="http://schemas.microsoft.com/office/drawing/2010/main" val="0"/>
                        </a:ext>
                      </a:extLst>
                    </a:blip>
                    <a:stretch>
                      <a:fillRect/>
                    </a:stretch>
                  </pic:blipFill>
                  <pic:spPr>
                    <a:xfrm>
                      <a:off x="0" y="0"/>
                      <a:ext cx="5117868" cy="2976203"/>
                    </a:xfrm>
                    <a:prstGeom prst="rect">
                      <a:avLst/>
                    </a:prstGeom>
                  </pic:spPr>
                </pic:pic>
              </a:graphicData>
            </a:graphic>
          </wp:inline>
        </w:drawing>
      </w:r>
    </w:p>
    <w:p w:rsidR="002349E0" w:rsidRDefault="002349E0" w:rsidP="002349E0">
      <w:pPr>
        <w:spacing w:after="0"/>
        <w:jc w:val="center"/>
        <w:rPr>
          <w:sz w:val="24"/>
          <w:szCs w:val="24"/>
        </w:rPr>
      </w:pPr>
      <w:r>
        <w:rPr>
          <w:sz w:val="24"/>
          <w:szCs w:val="24"/>
        </w:rPr>
        <w:t xml:space="preserve">Figure </w:t>
      </w:r>
      <w:r w:rsidR="00482CF4">
        <w:rPr>
          <w:sz w:val="24"/>
          <w:szCs w:val="24"/>
        </w:rPr>
        <w:t>7 – Répartition des médicaments essayés au début de l’épidémie</w:t>
      </w:r>
      <w:r w:rsidR="00370DD0">
        <w:rPr>
          <w:sz w:val="24"/>
          <w:szCs w:val="24"/>
        </w:rPr>
        <w:t xml:space="preserve"> (23)</w:t>
      </w:r>
    </w:p>
    <w:p w:rsidR="00482CF4" w:rsidRDefault="00482CF4" w:rsidP="002349E0">
      <w:pPr>
        <w:spacing w:after="0"/>
        <w:jc w:val="center"/>
        <w:rPr>
          <w:sz w:val="24"/>
          <w:szCs w:val="24"/>
        </w:rPr>
      </w:pPr>
    </w:p>
    <w:p w:rsidR="00482CF4" w:rsidRDefault="00482CF4" w:rsidP="00482CF4">
      <w:pPr>
        <w:spacing w:after="0"/>
        <w:rPr>
          <w:sz w:val="24"/>
          <w:szCs w:val="24"/>
        </w:rPr>
      </w:pPr>
      <w:r>
        <w:rPr>
          <w:sz w:val="24"/>
          <w:szCs w:val="24"/>
        </w:rPr>
        <w:t>Tous ces essais ont été pratiqués devant l’urgence sans planification rationnelle et aucun n’a abouti à des conclusions irréfutables et aucun n’a fait preuve d’</w:t>
      </w:r>
      <w:r w:rsidR="005147AE">
        <w:rPr>
          <w:sz w:val="24"/>
          <w:szCs w:val="24"/>
        </w:rPr>
        <w:t>un effet évident</w:t>
      </w:r>
      <w:r>
        <w:rPr>
          <w:sz w:val="24"/>
          <w:szCs w:val="24"/>
        </w:rPr>
        <w:t>.</w:t>
      </w:r>
      <w:r w:rsidR="00E45690">
        <w:rPr>
          <w:sz w:val="24"/>
          <w:szCs w:val="24"/>
        </w:rPr>
        <w:t xml:space="preserve"> L’absence de bras en double aveugle et l’absence de randomisation sont les objections les plus fréquentes.</w:t>
      </w:r>
    </w:p>
    <w:p w:rsidR="00482CF4" w:rsidRDefault="00482CF4" w:rsidP="00482CF4">
      <w:pPr>
        <w:spacing w:after="0"/>
        <w:rPr>
          <w:sz w:val="24"/>
          <w:szCs w:val="24"/>
        </w:rPr>
      </w:pPr>
      <w:r>
        <w:rPr>
          <w:sz w:val="24"/>
          <w:szCs w:val="24"/>
        </w:rPr>
        <w:t xml:space="preserve">Cependant des constatations sont admises dans certains cas. Il y a une discordance frappante entre les effets sur réduction de la charge virale </w:t>
      </w:r>
      <w:r w:rsidR="00E45690">
        <w:rPr>
          <w:sz w:val="24"/>
          <w:szCs w:val="24"/>
        </w:rPr>
        <w:t xml:space="preserve">bien réelle </w:t>
      </w:r>
      <w:r>
        <w:rPr>
          <w:sz w:val="24"/>
          <w:szCs w:val="24"/>
        </w:rPr>
        <w:t>et l’amélioration des symptômes cliniques.</w:t>
      </w:r>
    </w:p>
    <w:p w:rsidR="00482CF4" w:rsidRDefault="00482CF4" w:rsidP="00482CF4">
      <w:pPr>
        <w:spacing w:after="0"/>
        <w:rPr>
          <w:sz w:val="24"/>
          <w:szCs w:val="24"/>
        </w:rPr>
      </w:pPr>
    </w:p>
    <w:p w:rsidR="00482CF4" w:rsidRDefault="00482CF4" w:rsidP="00482CF4">
      <w:pPr>
        <w:spacing w:after="0"/>
        <w:rPr>
          <w:sz w:val="24"/>
          <w:szCs w:val="24"/>
        </w:rPr>
      </w:pPr>
      <w:r>
        <w:rPr>
          <w:sz w:val="24"/>
          <w:szCs w:val="24"/>
        </w:rPr>
        <w:t xml:space="preserve">Il est probable qu’une réflexion qui s’inspire de l’évolution de l’affection en quatre stades (figure 2) telle que décrite par Fr. Jacobs </w:t>
      </w:r>
      <w:r w:rsidR="00BF4DD1">
        <w:rPr>
          <w:sz w:val="24"/>
          <w:szCs w:val="24"/>
        </w:rPr>
        <w:t xml:space="preserve">(3) </w:t>
      </w:r>
      <w:r>
        <w:rPr>
          <w:sz w:val="24"/>
          <w:szCs w:val="24"/>
        </w:rPr>
        <w:t xml:space="preserve">permettra de préciser pour chaque drogue le </w:t>
      </w:r>
      <w:r>
        <w:rPr>
          <w:sz w:val="24"/>
          <w:szCs w:val="24"/>
        </w:rPr>
        <w:lastRenderedPageBreak/>
        <w:t>stade de l’affection pour laquelle elle sera utile. Il y a une distinction fondamentale à faire entre les médicaments ut</w:t>
      </w:r>
      <w:r w:rsidR="005147AE">
        <w:rPr>
          <w:sz w:val="24"/>
          <w:szCs w:val="24"/>
        </w:rPr>
        <w:t>i</w:t>
      </w:r>
      <w:r>
        <w:rPr>
          <w:sz w:val="24"/>
          <w:szCs w:val="24"/>
        </w:rPr>
        <w:t>les :</w:t>
      </w:r>
    </w:p>
    <w:p w:rsidR="00482CF4" w:rsidRDefault="00482CF4" w:rsidP="00482CF4">
      <w:pPr>
        <w:spacing w:after="0"/>
        <w:rPr>
          <w:sz w:val="24"/>
          <w:szCs w:val="24"/>
        </w:rPr>
      </w:pPr>
      <w:r>
        <w:rPr>
          <w:sz w:val="24"/>
          <w:szCs w:val="24"/>
        </w:rPr>
        <w:t>- au stade du début de l’infection, et qui pourraient s’opposer au développement du virus,</w:t>
      </w:r>
    </w:p>
    <w:p w:rsidR="005147AE" w:rsidRDefault="00370DD0" w:rsidP="00482CF4">
      <w:pPr>
        <w:spacing w:after="0"/>
        <w:rPr>
          <w:sz w:val="24"/>
          <w:szCs w:val="24"/>
        </w:rPr>
      </w:pPr>
      <w:proofErr w:type="gramStart"/>
      <w:r>
        <w:rPr>
          <w:sz w:val="24"/>
          <w:szCs w:val="24"/>
        </w:rPr>
        <w:t>en</w:t>
      </w:r>
      <w:proofErr w:type="gramEnd"/>
      <w:r>
        <w:rPr>
          <w:sz w:val="24"/>
          <w:szCs w:val="24"/>
        </w:rPr>
        <w:t xml:space="preserve"> p</w:t>
      </w:r>
      <w:r w:rsidR="005147AE">
        <w:rPr>
          <w:sz w:val="24"/>
          <w:szCs w:val="24"/>
        </w:rPr>
        <w:t>hase 1, 2 et peut-être 3,</w:t>
      </w:r>
    </w:p>
    <w:p w:rsidR="00482CF4" w:rsidRDefault="00482CF4" w:rsidP="00482CF4">
      <w:pPr>
        <w:spacing w:after="0"/>
        <w:rPr>
          <w:sz w:val="24"/>
          <w:szCs w:val="24"/>
        </w:rPr>
      </w:pPr>
      <w:r>
        <w:rPr>
          <w:sz w:val="24"/>
          <w:szCs w:val="24"/>
        </w:rPr>
        <w:t xml:space="preserve">- et ceux </w:t>
      </w:r>
      <w:r w:rsidR="005147AE">
        <w:rPr>
          <w:sz w:val="24"/>
          <w:szCs w:val="24"/>
        </w:rPr>
        <w:t>utiles</w:t>
      </w:r>
      <w:r>
        <w:rPr>
          <w:sz w:val="24"/>
          <w:szCs w:val="24"/>
        </w:rPr>
        <w:t xml:space="preserve"> pour lutter contre la réa</w:t>
      </w:r>
      <w:r w:rsidR="005147AE">
        <w:rPr>
          <w:sz w:val="24"/>
          <w:szCs w:val="24"/>
        </w:rPr>
        <w:t>ction inflammatoire excessive la</w:t>
      </w:r>
      <w:r>
        <w:rPr>
          <w:sz w:val="24"/>
          <w:szCs w:val="24"/>
        </w:rPr>
        <w:t xml:space="preserve"> plus toxique</w:t>
      </w:r>
      <w:r w:rsidR="005147AE">
        <w:rPr>
          <w:sz w:val="24"/>
          <w:szCs w:val="24"/>
        </w:rPr>
        <w:t xml:space="preserve"> </w:t>
      </w:r>
      <w:r w:rsidR="00370DD0">
        <w:rPr>
          <w:sz w:val="24"/>
          <w:szCs w:val="24"/>
        </w:rPr>
        <w:t xml:space="preserve">en </w:t>
      </w:r>
      <w:r w:rsidR="005147AE">
        <w:rPr>
          <w:sz w:val="24"/>
          <w:szCs w:val="24"/>
        </w:rPr>
        <w:t>phase 4</w:t>
      </w:r>
      <w:r>
        <w:rPr>
          <w:sz w:val="24"/>
          <w:szCs w:val="24"/>
        </w:rPr>
        <w:t xml:space="preserve">. </w:t>
      </w:r>
      <w:r w:rsidR="005147AE">
        <w:rPr>
          <w:sz w:val="24"/>
          <w:szCs w:val="24"/>
        </w:rPr>
        <w:t>Les succès</w:t>
      </w:r>
      <w:r>
        <w:rPr>
          <w:sz w:val="24"/>
          <w:szCs w:val="24"/>
        </w:rPr>
        <w:t xml:space="preserve"> à ce stade de</w:t>
      </w:r>
      <w:r w:rsidR="005147AE">
        <w:rPr>
          <w:sz w:val="24"/>
          <w:szCs w:val="24"/>
        </w:rPr>
        <w:t xml:space="preserve"> </w:t>
      </w:r>
      <w:r>
        <w:rPr>
          <w:sz w:val="24"/>
          <w:szCs w:val="24"/>
        </w:rPr>
        <w:t xml:space="preserve">la </w:t>
      </w:r>
      <w:proofErr w:type="spellStart"/>
      <w:r>
        <w:rPr>
          <w:sz w:val="24"/>
          <w:szCs w:val="24"/>
        </w:rPr>
        <w:t>dexaméthasone</w:t>
      </w:r>
      <w:proofErr w:type="spellEnd"/>
      <w:r>
        <w:rPr>
          <w:sz w:val="24"/>
          <w:szCs w:val="24"/>
        </w:rPr>
        <w:t xml:space="preserve"> sont assez évidents.</w:t>
      </w:r>
    </w:p>
    <w:p w:rsidR="00E45690" w:rsidRDefault="00E45690" w:rsidP="00482CF4">
      <w:pPr>
        <w:spacing w:after="0"/>
        <w:rPr>
          <w:sz w:val="24"/>
          <w:szCs w:val="24"/>
        </w:rPr>
      </w:pPr>
    </w:p>
    <w:p w:rsidR="00E45690" w:rsidRDefault="00E45690" w:rsidP="00482CF4">
      <w:pPr>
        <w:spacing w:after="0"/>
        <w:rPr>
          <w:sz w:val="24"/>
          <w:szCs w:val="24"/>
        </w:rPr>
      </w:pPr>
      <w:r>
        <w:rPr>
          <w:sz w:val="24"/>
          <w:szCs w:val="24"/>
        </w:rPr>
        <w:t xml:space="preserve">Quand on voit la fréquence avec laquelle divers </w:t>
      </w:r>
      <w:proofErr w:type="spellStart"/>
      <w:r>
        <w:rPr>
          <w:sz w:val="24"/>
          <w:szCs w:val="24"/>
        </w:rPr>
        <w:t>anti-viraux</w:t>
      </w:r>
      <w:proofErr w:type="spellEnd"/>
      <w:r>
        <w:rPr>
          <w:sz w:val="24"/>
          <w:szCs w:val="24"/>
        </w:rPr>
        <w:t xml:space="preserve"> ont été essayés (figure 7), ces cliniciens ont espéré se débarrasser du virus dès les phases initiales de la maladie avec des succès très relatifs. Les effets des traitements anti-inflammatoires sont sans doute plus évidents.</w:t>
      </w:r>
    </w:p>
    <w:p w:rsidR="00E45690" w:rsidRDefault="00E45690" w:rsidP="00482CF4">
      <w:pPr>
        <w:spacing w:after="0"/>
        <w:rPr>
          <w:sz w:val="24"/>
          <w:szCs w:val="24"/>
        </w:rPr>
      </w:pPr>
    </w:p>
    <w:p w:rsidR="00184F44" w:rsidRPr="00E45690" w:rsidRDefault="00E45690" w:rsidP="00E45690">
      <w:pPr>
        <w:spacing w:after="0"/>
        <w:rPr>
          <w:sz w:val="24"/>
          <w:szCs w:val="24"/>
        </w:rPr>
      </w:pPr>
      <w:r>
        <w:rPr>
          <w:sz w:val="24"/>
          <w:szCs w:val="24"/>
        </w:rPr>
        <w:t>L’avenir permettra de préciser quel</w:t>
      </w:r>
      <w:r w:rsidR="00370DD0">
        <w:rPr>
          <w:sz w:val="24"/>
          <w:szCs w:val="24"/>
        </w:rPr>
        <w:t>s</w:t>
      </w:r>
      <w:r>
        <w:rPr>
          <w:sz w:val="24"/>
          <w:szCs w:val="24"/>
        </w:rPr>
        <w:t xml:space="preserve"> médicaments pour quel stade. C’est toute une nouvelle pharmacothérapie qui doit être définie.</w:t>
      </w:r>
    </w:p>
    <w:p w:rsidR="00184F44" w:rsidRDefault="00184F44" w:rsidP="00386D64">
      <w:pPr>
        <w:spacing w:after="0"/>
        <w:ind w:left="1134"/>
        <w:jc w:val="center"/>
        <w:rPr>
          <w:b/>
          <w:sz w:val="28"/>
          <w:szCs w:val="28"/>
        </w:rPr>
      </w:pPr>
    </w:p>
    <w:p w:rsidR="00386D64" w:rsidRDefault="00386D64" w:rsidP="00386D64">
      <w:pPr>
        <w:spacing w:after="0"/>
        <w:ind w:left="1134"/>
        <w:jc w:val="center"/>
        <w:rPr>
          <w:b/>
          <w:sz w:val="28"/>
          <w:szCs w:val="28"/>
        </w:rPr>
      </w:pPr>
      <w:r>
        <w:rPr>
          <w:b/>
          <w:sz w:val="28"/>
          <w:szCs w:val="28"/>
        </w:rPr>
        <w:t>Bibliographie</w:t>
      </w:r>
    </w:p>
    <w:p w:rsidR="00386D64" w:rsidRPr="00E45690" w:rsidRDefault="00386D64" w:rsidP="00E45690">
      <w:pPr>
        <w:spacing w:after="0"/>
        <w:rPr>
          <w:sz w:val="18"/>
          <w:szCs w:val="18"/>
        </w:rPr>
      </w:pPr>
      <w:r w:rsidRPr="00E45690">
        <w:rPr>
          <w:sz w:val="18"/>
          <w:szCs w:val="18"/>
        </w:rPr>
        <w:t xml:space="preserve">1 – </w:t>
      </w:r>
      <w:proofErr w:type="spellStart"/>
      <w:r w:rsidRPr="00E45690">
        <w:rPr>
          <w:sz w:val="18"/>
          <w:szCs w:val="18"/>
        </w:rPr>
        <w:t>Mercadier</w:t>
      </w:r>
      <w:proofErr w:type="spellEnd"/>
      <w:r w:rsidRPr="00E45690">
        <w:rPr>
          <w:sz w:val="18"/>
          <w:szCs w:val="18"/>
        </w:rPr>
        <w:t xml:space="preserve"> J.J.,</w:t>
      </w:r>
    </w:p>
    <w:p w:rsidR="00386D64" w:rsidRPr="00E45690" w:rsidRDefault="00386D64" w:rsidP="00E45690">
      <w:pPr>
        <w:spacing w:after="0"/>
        <w:rPr>
          <w:sz w:val="18"/>
          <w:szCs w:val="18"/>
        </w:rPr>
      </w:pPr>
      <w:r w:rsidRPr="00E45690">
        <w:rPr>
          <w:sz w:val="18"/>
          <w:szCs w:val="18"/>
        </w:rPr>
        <w:t>Une seconde enzyme de conversion juste pour le cœur ?</w:t>
      </w:r>
    </w:p>
    <w:p w:rsidR="00386D64" w:rsidRPr="00E45690" w:rsidRDefault="00386D64" w:rsidP="00E45690">
      <w:pPr>
        <w:spacing w:after="0"/>
        <w:rPr>
          <w:sz w:val="18"/>
          <w:szCs w:val="18"/>
          <w:lang w:val="nl-BE"/>
        </w:rPr>
      </w:pPr>
      <w:proofErr w:type="spellStart"/>
      <w:r w:rsidRPr="00E45690">
        <w:rPr>
          <w:sz w:val="18"/>
          <w:szCs w:val="18"/>
          <w:lang w:val="nl-BE"/>
        </w:rPr>
        <w:t>Med</w:t>
      </w:r>
      <w:proofErr w:type="spellEnd"/>
      <w:r w:rsidRPr="00E45690">
        <w:rPr>
          <w:sz w:val="18"/>
          <w:szCs w:val="18"/>
          <w:lang w:val="nl-BE"/>
        </w:rPr>
        <w:t xml:space="preserve"> </w:t>
      </w:r>
      <w:proofErr w:type="spellStart"/>
      <w:r w:rsidRPr="00E45690">
        <w:rPr>
          <w:sz w:val="18"/>
          <w:szCs w:val="18"/>
          <w:lang w:val="nl-BE"/>
        </w:rPr>
        <w:t>Sci</w:t>
      </w:r>
      <w:proofErr w:type="spellEnd"/>
      <w:r w:rsidRPr="00E45690">
        <w:rPr>
          <w:sz w:val="18"/>
          <w:szCs w:val="18"/>
          <w:lang w:val="nl-BE"/>
        </w:rPr>
        <w:t xml:space="preserve"> (Paris), Vol 19/n°2 fevr.2003 ‘141-143)</w:t>
      </w:r>
    </w:p>
    <w:p w:rsidR="00386D64" w:rsidRPr="00E45690" w:rsidRDefault="00386D64" w:rsidP="00E45690">
      <w:pPr>
        <w:spacing w:after="0"/>
        <w:rPr>
          <w:sz w:val="18"/>
          <w:szCs w:val="18"/>
          <w:lang w:val="en-US"/>
        </w:rPr>
      </w:pPr>
      <w:r w:rsidRPr="00E45690">
        <w:rPr>
          <w:sz w:val="18"/>
          <w:szCs w:val="18"/>
          <w:lang w:val="en-US"/>
        </w:rPr>
        <w:t xml:space="preserve">2 – </w:t>
      </w:r>
      <w:proofErr w:type="spellStart"/>
      <w:r w:rsidRPr="00E45690">
        <w:rPr>
          <w:sz w:val="18"/>
          <w:szCs w:val="18"/>
          <w:lang w:val="en-US"/>
        </w:rPr>
        <w:t>Sriram</w:t>
      </w:r>
      <w:proofErr w:type="spellEnd"/>
      <w:r w:rsidRPr="00E45690">
        <w:rPr>
          <w:sz w:val="18"/>
          <w:szCs w:val="18"/>
          <w:lang w:val="en-US"/>
        </w:rPr>
        <w:t xml:space="preserve"> K., </w:t>
      </w:r>
      <w:proofErr w:type="spellStart"/>
      <w:r w:rsidRPr="00E45690">
        <w:rPr>
          <w:sz w:val="18"/>
          <w:szCs w:val="18"/>
          <w:lang w:val="en-US"/>
        </w:rPr>
        <w:t>Insel</w:t>
      </w:r>
      <w:proofErr w:type="spellEnd"/>
      <w:r w:rsidRPr="00E45690">
        <w:rPr>
          <w:sz w:val="18"/>
          <w:szCs w:val="18"/>
          <w:lang w:val="en-US"/>
        </w:rPr>
        <w:t xml:space="preserve"> P. and Loomba R.,</w:t>
      </w:r>
    </w:p>
    <w:p w:rsidR="00386D64" w:rsidRPr="00E45690" w:rsidRDefault="00386D64" w:rsidP="00E45690">
      <w:pPr>
        <w:spacing w:after="0"/>
        <w:rPr>
          <w:sz w:val="18"/>
          <w:szCs w:val="18"/>
          <w:lang w:val="en-US"/>
        </w:rPr>
      </w:pPr>
      <w:r w:rsidRPr="00E45690">
        <w:rPr>
          <w:sz w:val="18"/>
          <w:szCs w:val="18"/>
          <w:lang w:val="en-US"/>
        </w:rPr>
        <w:t xml:space="preserve">What is the ACE 2 receptor, how is it connected to coronavirus and </w:t>
      </w:r>
      <w:r w:rsidR="00C73159" w:rsidRPr="00E45690">
        <w:rPr>
          <w:sz w:val="18"/>
          <w:szCs w:val="18"/>
          <w:lang w:val="en-US"/>
        </w:rPr>
        <w:t>why might it de key to treating COVID-19?</w:t>
      </w:r>
    </w:p>
    <w:p w:rsidR="00C73159" w:rsidRPr="00E45690" w:rsidRDefault="00C73159" w:rsidP="00E45690">
      <w:pPr>
        <w:spacing w:after="0"/>
        <w:rPr>
          <w:sz w:val="18"/>
          <w:szCs w:val="18"/>
          <w:lang w:val="en-US"/>
        </w:rPr>
      </w:pPr>
      <w:r w:rsidRPr="00E45690">
        <w:rPr>
          <w:sz w:val="18"/>
          <w:szCs w:val="18"/>
          <w:lang w:val="en-US"/>
        </w:rPr>
        <w:t xml:space="preserve">The Conversation, </w:t>
      </w:r>
      <w:proofErr w:type="gramStart"/>
      <w:r w:rsidRPr="00E45690">
        <w:rPr>
          <w:sz w:val="18"/>
          <w:szCs w:val="18"/>
          <w:lang w:val="en-US"/>
        </w:rPr>
        <w:t>may</w:t>
      </w:r>
      <w:proofErr w:type="gramEnd"/>
      <w:r w:rsidRPr="00E45690">
        <w:rPr>
          <w:sz w:val="18"/>
          <w:szCs w:val="18"/>
          <w:lang w:val="en-US"/>
        </w:rPr>
        <w:t xml:space="preserve"> 14, 2020</w:t>
      </w:r>
    </w:p>
    <w:p w:rsidR="00B5779B" w:rsidRPr="00E45690" w:rsidRDefault="00B5779B" w:rsidP="00E45690">
      <w:pPr>
        <w:spacing w:after="0"/>
        <w:rPr>
          <w:sz w:val="18"/>
          <w:szCs w:val="18"/>
          <w:lang w:val="en-US"/>
        </w:rPr>
      </w:pPr>
      <w:proofErr w:type="gramStart"/>
      <w:r w:rsidRPr="00E45690">
        <w:rPr>
          <w:sz w:val="18"/>
          <w:szCs w:val="18"/>
          <w:lang w:val="en-US"/>
        </w:rPr>
        <w:t>3 –Jacobs Fr.,</w:t>
      </w:r>
      <w:proofErr w:type="gramEnd"/>
    </w:p>
    <w:p w:rsidR="00B5779B" w:rsidRPr="00E45690" w:rsidRDefault="00B5779B" w:rsidP="00E45690">
      <w:pPr>
        <w:spacing w:after="0"/>
        <w:rPr>
          <w:sz w:val="18"/>
          <w:szCs w:val="18"/>
        </w:rPr>
      </w:pPr>
      <w:r w:rsidRPr="00E45690">
        <w:rPr>
          <w:sz w:val="18"/>
          <w:szCs w:val="18"/>
        </w:rPr>
        <w:t>Phase de la maladie COVID-19,</w:t>
      </w:r>
    </w:p>
    <w:p w:rsidR="00B5779B" w:rsidRPr="00E45690" w:rsidRDefault="00B5779B" w:rsidP="00E45690">
      <w:pPr>
        <w:spacing w:after="0"/>
        <w:rPr>
          <w:sz w:val="18"/>
          <w:szCs w:val="18"/>
        </w:rPr>
      </w:pPr>
      <w:r w:rsidRPr="00E45690">
        <w:rPr>
          <w:sz w:val="18"/>
          <w:szCs w:val="18"/>
        </w:rPr>
        <w:t>In « La Libre Belgique » du 24.05.2020</w:t>
      </w:r>
      <w:r w:rsidR="00AA7FC3" w:rsidRPr="00E45690">
        <w:rPr>
          <w:sz w:val="18"/>
          <w:szCs w:val="18"/>
        </w:rPr>
        <w:t xml:space="preserve"> </w:t>
      </w:r>
    </w:p>
    <w:p w:rsidR="00AA7FC3" w:rsidRPr="00E45690" w:rsidRDefault="00AA7FC3" w:rsidP="00E45690">
      <w:pPr>
        <w:spacing w:after="0"/>
        <w:rPr>
          <w:sz w:val="18"/>
          <w:szCs w:val="18"/>
        </w:rPr>
      </w:pPr>
      <w:r w:rsidRPr="00E45690">
        <w:rPr>
          <w:sz w:val="18"/>
          <w:szCs w:val="18"/>
        </w:rPr>
        <w:t>4 – AFMPS belge, flash info du 01.04</w:t>
      </w:r>
      <w:proofErr w:type="gramStart"/>
      <w:r w:rsidRPr="00E45690">
        <w:rPr>
          <w:sz w:val="18"/>
          <w:szCs w:val="18"/>
        </w:rPr>
        <w:t>.(</w:t>
      </w:r>
      <w:proofErr w:type="gramEnd"/>
      <w:r w:rsidRPr="00E45690">
        <w:rPr>
          <w:sz w:val="18"/>
          <w:szCs w:val="18"/>
        </w:rPr>
        <w:t>2020)</w:t>
      </w:r>
    </w:p>
    <w:p w:rsidR="00BF725C" w:rsidRPr="00E45690" w:rsidRDefault="00BF725C" w:rsidP="00E45690">
      <w:pPr>
        <w:spacing w:after="0"/>
        <w:rPr>
          <w:sz w:val="18"/>
          <w:szCs w:val="18"/>
        </w:rPr>
      </w:pPr>
      <w:r w:rsidRPr="00E45690">
        <w:rPr>
          <w:sz w:val="18"/>
          <w:szCs w:val="18"/>
        </w:rPr>
        <w:t xml:space="preserve">5 – Aubry-Rosier B. et </w:t>
      </w:r>
      <w:proofErr w:type="spellStart"/>
      <w:r w:rsidRPr="00E45690">
        <w:rPr>
          <w:sz w:val="18"/>
          <w:szCs w:val="18"/>
        </w:rPr>
        <w:t>alii</w:t>
      </w:r>
      <w:proofErr w:type="spellEnd"/>
      <w:r w:rsidRPr="00E45690">
        <w:rPr>
          <w:sz w:val="18"/>
          <w:szCs w:val="18"/>
        </w:rPr>
        <w:t>,</w:t>
      </w:r>
    </w:p>
    <w:p w:rsidR="00BF725C" w:rsidRPr="00E45690" w:rsidRDefault="00BF725C" w:rsidP="00E45690">
      <w:pPr>
        <w:spacing w:after="0"/>
        <w:rPr>
          <w:sz w:val="18"/>
          <w:szCs w:val="18"/>
        </w:rPr>
      </w:pPr>
      <w:r w:rsidRPr="00E45690">
        <w:rPr>
          <w:sz w:val="18"/>
          <w:szCs w:val="18"/>
        </w:rPr>
        <w:t>Les connectivites,</w:t>
      </w:r>
    </w:p>
    <w:p w:rsidR="00BF725C" w:rsidRPr="00E45690" w:rsidRDefault="00BF725C" w:rsidP="00E45690">
      <w:pPr>
        <w:spacing w:after="0"/>
        <w:rPr>
          <w:sz w:val="18"/>
          <w:szCs w:val="18"/>
        </w:rPr>
      </w:pPr>
      <w:proofErr w:type="spellStart"/>
      <w:r w:rsidRPr="00E45690">
        <w:rPr>
          <w:sz w:val="18"/>
          <w:szCs w:val="18"/>
        </w:rPr>
        <w:t>Rev</w:t>
      </w:r>
      <w:proofErr w:type="spellEnd"/>
      <w:r w:rsidRPr="00E45690">
        <w:rPr>
          <w:sz w:val="18"/>
          <w:szCs w:val="18"/>
        </w:rPr>
        <w:t xml:space="preserve"> Med Suisse, (2013) 9 : 556-650</w:t>
      </w:r>
    </w:p>
    <w:p w:rsidR="008E565F" w:rsidRPr="00E45690" w:rsidRDefault="008E565F" w:rsidP="00E45690">
      <w:pPr>
        <w:spacing w:after="0"/>
        <w:rPr>
          <w:sz w:val="18"/>
          <w:szCs w:val="18"/>
          <w:lang w:val="en-US"/>
        </w:rPr>
      </w:pPr>
      <w:r w:rsidRPr="00E45690">
        <w:rPr>
          <w:sz w:val="18"/>
          <w:szCs w:val="18"/>
          <w:lang w:val="en-US"/>
        </w:rPr>
        <w:t xml:space="preserve">6 – </w:t>
      </w:r>
      <w:proofErr w:type="spellStart"/>
      <w:r w:rsidRPr="00E45690">
        <w:rPr>
          <w:sz w:val="18"/>
          <w:szCs w:val="18"/>
          <w:lang w:val="en-US"/>
        </w:rPr>
        <w:t>MeraM</w:t>
      </w:r>
      <w:proofErr w:type="spellEnd"/>
      <w:r w:rsidRPr="00E45690">
        <w:rPr>
          <w:sz w:val="18"/>
          <w:szCs w:val="18"/>
          <w:lang w:val="en-US"/>
        </w:rPr>
        <w:t xml:space="preserve">. And </w:t>
      </w:r>
      <w:proofErr w:type="spellStart"/>
      <w:r w:rsidRPr="00E45690">
        <w:rPr>
          <w:sz w:val="18"/>
          <w:szCs w:val="18"/>
          <w:lang w:val="en-US"/>
        </w:rPr>
        <w:t>alii</w:t>
      </w:r>
      <w:proofErr w:type="spellEnd"/>
      <w:r w:rsidRPr="00E45690">
        <w:rPr>
          <w:sz w:val="18"/>
          <w:szCs w:val="18"/>
          <w:lang w:val="en-US"/>
        </w:rPr>
        <w:t>,</w:t>
      </w:r>
    </w:p>
    <w:p w:rsidR="008E565F" w:rsidRPr="00E45690" w:rsidRDefault="008E565F" w:rsidP="00E45690">
      <w:pPr>
        <w:spacing w:after="0"/>
        <w:rPr>
          <w:sz w:val="18"/>
          <w:szCs w:val="18"/>
          <w:lang w:val="en-US"/>
        </w:rPr>
      </w:pPr>
      <w:r w:rsidRPr="00E45690">
        <w:rPr>
          <w:sz w:val="18"/>
          <w:szCs w:val="18"/>
          <w:lang w:val="en-US"/>
        </w:rPr>
        <w:t xml:space="preserve">Hydroxychloroquine or chloroquine with or without a macrolide for treatment of COVID-19, a multinational </w:t>
      </w:r>
      <w:r w:rsidR="006401C1">
        <w:rPr>
          <w:sz w:val="18"/>
          <w:szCs w:val="18"/>
          <w:lang w:val="en-US"/>
        </w:rPr>
        <w:t>registry</w:t>
      </w:r>
      <w:r w:rsidRPr="00E45690">
        <w:rPr>
          <w:sz w:val="18"/>
          <w:szCs w:val="18"/>
          <w:lang w:val="en-US"/>
        </w:rPr>
        <w:t xml:space="preserve"> analysis,</w:t>
      </w:r>
    </w:p>
    <w:p w:rsidR="008E565F" w:rsidRPr="00E45690" w:rsidRDefault="008E565F" w:rsidP="00E45690">
      <w:pPr>
        <w:spacing w:after="0"/>
        <w:rPr>
          <w:sz w:val="18"/>
          <w:szCs w:val="18"/>
          <w:lang w:val="en-US"/>
        </w:rPr>
      </w:pPr>
      <w:r w:rsidRPr="00E45690">
        <w:rPr>
          <w:sz w:val="18"/>
          <w:szCs w:val="18"/>
          <w:lang w:val="en-US"/>
        </w:rPr>
        <w:t>The Lancet, 22 may</w:t>
      </w:r>
    </w:p>
    <w:p w:rsidR="002C3890" w:rsidRPr="00E45690" w:rsidRDefault="002C3890" w:rsidP="00E45690">
      <w:pPr>
        <w:spacing w:after="0"/>
        <w:rPr>
          <w:sz w:val="18"/>
          <w:szCs w:val="18"/>
          <w:lang w:val="en-US"/>
        </w:rPr>
      </w:pPr>
      <w:r w:rsidRPr="00E45690">
        <w:rPr>
          <w:sz w:val="18"/>
          <w:szCs w:val="18"/>
          <w:lang w:val="en-US"/>
        </w:rPr>
        <w:t xml:space="preserve">7 – </w:t>
      </w:r>
      <w:proofErr w:type="spellStart"/>
      <w:r w:rsidRPr="00E45690">
        <w:rPr>
          <w:sz w:val="18"/>
          <w:szCs w:val="18"/>
          <w:lang w:val="en-US"/>
        </w:rPr>
        <w:t>Gautret</w:t>
      </w:r>
      <w:proofErr w:type="spellEnd"/>
      <w:r w:rsidRPr="00E45690">
        <w:rPr>
          <w:sz w:val="18"/>
          <w:szCs w:val="18"/>
          <w:lang w:val="en-US"/>
        </w:rPr>
        <w:t xml:space="preserve"> P. and </w:t>
      </w:r>
      <w:proofErr w:type="spellStart"/>
      <w:r w:rsidRPr="00E45690">
        <w:rPr>
          <w:sz w:val="18"/>
          <w:szCs w:val="18"/>
          <w:lang w:val="en-US"/>
        </w:rPr>
        <w:t>alii</w:t>
      </w:r>
      <w:proofErr w:type="spellEnd"/>
      <w:r w:rsidRPr="00E45690">
        <w:rPr>
          <w:sz w:val="18"/>
          <w:szCs w:val="18"/>
          <w:lang w:val="en-US"/>
        </w:rPr>
        <w:t>,</w:t>
      </w:r>
    </w:p>
    <w:p w:rsidR="002C3890" w:rsidRPr="00E45690" w:rsidRDefault="002C3890" w:rsidP="00E45690">
      <w:pPr>
        <w:spacing w:after="0"/>
        <w:rPr>
          <w:sz w:val="18"/>
          <w:szCs w:val="18"/>
          <w:lang w:val="en-US"/>
        </w:rPr>
      </w:pPr>
      <w:r w:rsidRPr="00E45690">
        <w:rPr>
          <w:sz w:val="18"/>
          <w:szCs w:val="18"/>
          <w:lang w:val="en-US"/>
        </w:rPr>
        <w:t xml:space="preserve">Hydroxychloroquine and </w:t>
      </w:r>
      <w:proofErr w:type="spellStart"/>
      <w:r w:rsidRPr="00E45690">
        <w:rPr>
          <w:sz w:val="18"/>
          <w:szCs w:val="18"/>
          <w:lang w:val="en-US"/>
        </w:rPr>
        <w:t>azithromycine</w:t>
      </w:r>
      <w:proofErr w:type="spellEnd"/>
      <w:r w:rsidRPr="00E45690">
        <w:rPr>
          <w:sz w:val="18"/>
          <w:szCs w:val="18"/>
          <w:lang w:val="en-US"/>
        </w:rPr>
        <w:t xml:space="preserve"> as a treatment of COVID-19: results of an open-label </w:t>
      </w:r>
      <w:proofErr w:type="gramStart"/>
      <w:r w:rsidRPr="00E45690">
        <w:rPr>
          <w:sz w:val="18"/>
          <w:szCs w:val="18"/>
          <w:lang w:val="en-US"/>
        </w:rPr>
        <w:t>non</w:t>
      </w:r>
      <w:proofErr w:type="gramEnd"/>
      <w:r w:rsidRPr="00E45690">
        <w:rPr>
          <w:sz w:val="18"/>
          <w:szCs w:val="18"/>
          <w:lang w:val="en-US"/>
        </w:rPr>
        <w:t xml:space="preserve"> randomized clinical trial,</w:t>
      </w:r>
    </w:p>
    <w:p w:rsidR="002C3890" w:rsidRPr="00E45690" w:rsidRDefault="002C3890" w:rsidP="00E45690">
      <w:pPr>
        <w:spacing w:after="0"/>
        <w:rPr>
          <w:sz w:val="18"/>
          <w:szCs w:val="18"/>
          <w:lang w:val="en-US"/>
        </w:rPr>
      </w:pPr>
      <w:proofErr w:type="spellStart"/>
      <w:r w:rsidRPr="00E45690">
        <w:rPr>
          <w:sz w:val="18"/>
          <w:szCs w:val="18"/>
          <w:lang w:val="en-US"/>
        </w:rPr>
        <w:t>Int</w:t>
      </w:r>
      <w:proofErr w:type="spellEnd"/>
      <w:r w:rsidRPr="00E45690">
        <w:rPr>
          <w:sz w:val="18"/>
          <w:szCs w:val="18"/>
          <w:lang w:val="en-US"/>
        </w:rPr>
        <w:t xml:space="preserve"> J </w:t>
      </w:r>
      <w:proofErr w:type="spellStart"/>
      <w:r w:rsidRPr="00E45690">
        <w:rPr>
          <w:sz w:val="18"/>
          <w:szCs w:val="18"/>
          <w:lang w:val="en-US"/>
        </w:rPr>
        <w:t>Antimicrob</w:t>
      </w:r>
      <w:proofErr w:type="spellEnd"/>
      <w:r w:rsidRPr="00E45690">
        <w:rPr>
          <w:sz w:val="18"/>
          <w:szCs w:val="18"/>
          <w:lang w:val="en-US"/>
        </w:rPr>
        <w:t xml:space="preserve"> Agents, (2020), march 20:105949</w:t>
      </w:r>
    </w:p>
    <w:p w:rsidR="002C3890" w:rsidRPr="00E45690" w:rsidRDefault="002C3890" w:rsidP="00E45690">
      <w:pPr>
        <w:spacing w:after="0"/>
        <w:rPr>
          <w:sz w:val="18"/>
          <w:szCs w:val="18"/>
          <w:lang w:val="en-US"/>
        </w:rPr>
      </w:pPr>
      <w:r w:rsidRPr="00E45690">
        <w:rPr>
          <w:sz w:val="18"/>
          <w:szCs w:val="18"/>
          <w:lang w:val="en-US"/>
        </w:rPr>
        <w:t xml:space="preserve">8 – </w:t>
      </w:r>
      <w:proofErr w:type="spellStart"/>
      <w:r w:rsidRPr="00E45690">
        <w:rPr>
          <w:sz w:val="18"/>
          <w:szCs w:val="18"/>
          <w:lang w:val="en-US"/>
        </w:rPr>
        <w:t>Zhongua</w:t>
      </w:r>
      <w:proofErr w:type="spellEnd"/>
      <w:r w:rsidRPr="00E45690">
        <w:rPr>
          <w:sz w:val="18"/>
          <w:szCs w:val="18"/>
          <w:lang w:val="en-US"/>
        </w:rPr>
        <w:t xml:space="preserve"> and </w:t>
      </w:r>
      <w:proofErr w:type="spellStart"/>
      <w:r w:rsidRPr="00E45690">
        <w:rPr>
          <w:sz w:val="18"/>
          <w:szCs w:val="18"/>
          <w:lang w:val="en-US"/>
        </w:rPr>
        <w:t>alii</w:t>
      </w:r>
      <w:proofErr w:type="spellEnd"/>
      <w:r w:rsidRPr="00E45690">
        <w:rPr>
          <w:sz w:val="18"/>
          <w:szCs w:val="18"/>
          <w:lang w:val="en-US"/>
        </w:rPr>
        <w:t>,</w:t>
      </w:r>
    </w:p>
    <w:p w:rsidR="002C3890" w:rsidRPr="00E45690" w:rsidRDefault="002C3890" w:rsidP="00E45690">
      <w:pPr>
        <w:spacing w:after="0"/>
        <w:rPr>
          <w:sz w:val="18"/>
          <w:szCs w:val="18"/>
        </w:rPr>
      </w:pPr>
      <w:proofErr w:type="spellStart"/>
      <w:r w:rsidRPr="00E45690">
        <w:rPr>
          <w:sz w:val="18"/>
          <w:szCs w:val="18"/>
        </w:rPr>
        <w:t>Multicenter</w:t>
      </w:r>
      <w:proofErr w:type="spellEnd"/>
      <w:r w:rsidRPr="00E45690">
        <w:rPr>
          <w:sz w:val="18"/>
          <w:szCs w:val="18"/>
        </w:rPr>
        <w:t xml:space="preserve"> collaboration group, (2020), 43E0199</w:t>
      </w:r>
    </w:p>
    <w:p w:rsidR="008E4389" w:rsidRPr="00E45690" w:rsidRDefault="008E4389" w:rsidP="00E45690">
      <w:pPr>
        <w:spacing w:after="0"/>
        <w:rPr>
          <w:sz w:val="18"/>
          <w:szCs w:val="18"/>
        </w:rPr>
      </w:pPr>
      <w:r w:rsidRPr="00E45690">
        <w:rPr>
          <w:sz w:val="18"/>
          <w:szCs w:val="18"/>
        </w:rPr>
        <w:t xml:space="preserve">9 – </w:t>
      </w:r>
      <w:proofErr w:type="spellStart"/>
      <w:r w:rsidRPr="00E45690">
        <w:rPr>
          <w:sz w:val="18"/>
          <w:szCs w:val="18"/>
        </w:rPr>
        <w:t>Demarti</w:t>
      </w:r>
      <w:proofErr w:type="spellEnd"/>
      <w:r w:rsidRPr="00E45690">
        <w:rPr>
          <w:sz w:val="18"/>
          <w:szCs w:val="18"/>
        </w:rPr>
        <w:t xml:space="preserve"> Ch.,</w:t>
      </w:r>
    </w:p>
    <w:p w:rsidR="008E4389" w:rsidRPr="00E45690" w:rsidRDefault="008E4389" w:rsidP="00E45690">
      <w:pPr>
        <w:spacing w:after="0"/>
        <w:rPr>
          <w:sz w:val="18"/>
          <w:szCs w:val="18"/>
        </w:rPr>
      </w:pPr>
      <w:r w:rsidRPr="00E45690">
        <w:rPr>
          <w:sz w:val="18"/>
          <w:szCs w:val="18"/>
        </w:rPr>
        <w:t xml:space="preserve">En France: le </w:t>
      </w:r>
      <w:proofErr w:type="spellStart"/>
      <w:r w:rsidRPr="00E45690">
        <w:rPr>
          <w:sz w:val="18"/>
          <w:szCs w:val="18"/>
        </w:rPr>
        <w:t>remdésivir</w:t>
      </w:r>
      <w:proofErr w:type="spellEnd"/>
      <w:r w:rsidRPr="00E45690">
        <w:rPr>
          <w:sz w:val="18"/>
          <w:szCs w:val="18"/>
        </w:rPr>
        <w:t xml:space="preserve"> est recommandé dans les formes graves de COSID-19,</w:t>
      </w:r>
    </w:p>
    <w:p w:rsidR="008E4389" w:rsidRPr="00E45690" w:rsidRDefault="008E4389" w:rsidP="00E45690">
      <w:pPr>
        <w:spacing w:after="0"/>
        <w:rPr>
          <w:sz w:val="18"/>
          <w:szCs w:val="18"/>
        </w:rPr>
      </w:pPr>
      <w:r w:rsidRPr="00E45690">
        <w:rPr>
          <w:sz w:val="18"/>
          <w:szCs w:val="18"/>
        </w:rPr>
        <w:t>Le  Quotidien du Pharmacien, 11 mars 2020</w:t>
      </w:r>
    </w:p>
    <w:p w:rsidR="00770DF3" w:rsidRPr="00E45690" w:rsidRDefault="00770DF3" w:rsidP="00E45690">
      <w:pPr>
        <w:spacing w:after="0"/>
        <w:rPr>
          <w:sz w:val="18"/>
          <w:szCs w:val="18"/>
          <w:lang w:val="en-US"/>
        </w:rPr>
      </w:pPr>
      <w:r w:rsidRPr="00E45690">
        <w:rPr>
          <w:sz w:val="18"/>
          <w:szCs w:val="18"/>
          <w:lang w:val="en-US"/>
        </w:rPr>
        <w:t xml:space="preserve">10 – Wang Y., Zhang D. and </w:t>
      </w:r>
      <w:proofErr w:type="spellStart"/>
      <w:r w:rsidRPr="00E45690">
        <w:rPr>
          <w:sz w:val="18"/>
          <w:szCs w:val="18"/>
          <w:lang w:val="en-US"/>
        </w:rPr>
        <w:t>alii</w:t>
      </w:r>
      <w:proofErr w:type="spellEnd"/>
      <w:r w:rsidRPr="00E45690">
        <w:rPr>
          <w:sz w:val="18"/>
          <w:szCs w:val="18"/>
          <w:lang w:val="en-US"/>
        </w:rPr>
        <w:t>,</w:t>
      </w:r>
    </w:p>
    <w:p w:rsidR="007B6B32" w:rsidRPr="00E45690" w:rsidRDefault="00770DF3" w:rsidP="00E45690">
      <w:pPr>
        <w:spacing w:after="0"/>
        <w:rPr>
          <w:sz w:val="18"/>
          <w:szCs w:val="18"/>
          <w:lang w:val="en-US"/>
        </w:rPr>
      </w:pPr>
      <w:proofErr w:type="spellStart"/>
      <w:r w:rsidRPr="00E45690">
        <w:rPr>
          <w:sz w:val="18"/>
          <w:szCs w:val="18"/>
          <w:lang w:val="en-US"/>
        </w:rPr>
        <w:t>Remdesivir</w:t>
      </w:r>
      <w:proofErr w:type="spellEnd"/>
      <w:r w:rsidRPr="00E45690">
        <w:rPr>
          <w:sz w:val="18"/>
          <w:szCs w:val="18"/>
          <w:lang w:val="en-US"/>
        </w:rPr>
        <w:t xml:space="preserve"> in adult with severe COVID-</w:t>
      </w:r>
      <w:proofErr w:type="gramStart"/>
      <w:r w:rsidRPr="00E45690">
        <w:rPr>
          <w:sz w:val="18"/>
          <w:szCs w:val="18"/>
          <w:lang w:val="en-US"/>
        </w:rPr>
        <w:t>19 :</w:t>
      </w:r>
      <w:proofErr w:type="gramEnd"/>
      <w:r w:rsidRPr="00E45690">
        <w:rPr>
          <w:sz w:val="18"/>
          <w:szCs w:val="18"/>
          <w:lang w:val="en-US"/>
        </w:rPr>
        <w:t xml:space="preserve"> a </w:t>
      </w:r>
      <w:proofErr w:type="spellStart"/>
      <w:r w:rsidRPr="00E45690">
        <w:rPr>
          <w:sz w:val="18"/>
          <w:szCs w:val="18"/>
          <w:lang w:val="en-US"/>
        </w:rPr>
        <w:t>randomised</w:t>
      </w:r>
      <w:proofErr w:type="spellEnd"/>
      <w:r w:rsidRPr="00E45690">
        <w:rPr>
          <w:sz w:val="18"/>
          <w:szCs w:val="18"/>
          <w:lang w:val="en-US"/>
        </w:rPr>
        <w:t>, d</w:t>
      </w:r>
      <w:r w:rsidR="007B6B32" w:rsidRPr="00E45690">
        <w:rPr>
          <w:sz w:val="18"/>
          <w:szCs w:val="18"/>
          <w:lang w:val="en-US"/>
        </w:rPr>
        <w:t>o</w:t>
      </w:r>
      <w:r w:rsidRPr="00E45690">
        <w:rPr>
          <w:sz w:val="18"/>
          <w:szCs w:val="18"/>
          <w:lang w:val="en-US"/>
        </w:rPr>
        <w:t xml:space="preserve">uble </w:t>
      </w:r>
      <w:proofErr w:type="spellStart"/>
      <w:r w:rsidRPr="00E45690">
        <w:rPr>
          <w:sz w:val="18"/>
          <w:szCs w:val="18"/>
          <w:lang w:val="en-US"/>
        </w:rPr>
        <w:t>blind</w:t>
      </w:r>
      <w:r w:rsidR="007B6B32" w:rsidRPr="00E45690">
        <w:rPr>
          <w:sz w:val="18"/>
          <w:szCs w:val="18"/>
          <w:lang w:val="en-US"/>
        </w:rPr>
        <w:t>;placebo</w:t>
      </w:r>
      <w:proofErr w:type="spellEnd"/>
      <w:r w:rsidR="007B6B32" w:rsidRPr="00E45690">
        <w:rPr>
          <w:sz w:val="18"/>
          <w:szCs w:val="18"/>
          <w:lang w:val="en-US"/>
        </w:rPr>
        <w:t xml:space="preserve"> controlled multicenter trial,</w:t>
      </w:r>
    </w:p>
    <w:p w:rsidR="00770DF3" w:rsidRPr="00E45690" w:rsidRDefault="007B6B32" w:rsidP="00E45690">
      <w:pPr>
        <w:spacing w:after="0"/>
        <w:rPr>
          <w:sz w:val="18"/>
          <w:szCs w:val="18"/>
        </w:rPr>
      </w:pPr>
      <w:r w:rsidRPr="00E45690">
        <w:rPr>
          <w:sz w:val="18"/>
          <w:szCs w:val="18"/>
        </w:rPr>
        <w:t xml:space="preserve">The </w:t>
      </w:r>
      <w:proofErr w:type="spellStart"/>
      <w:r w:rsidRPr="00E45690">
        <w:rPr>
          <w:sz w:val="18"/>
          <w:szCs w:val="18"/>
        </w:rPr>
        <w:t>Lanced</w:t>
      </w:r>
      <w:proofErr w:type="spellEnd"/>
      <w:r w:rsidRPr="00E45690">
        <w:rPr>
          <w:sz w:val="18"/>
          <w:szCs w:val="18"/>
        </w:rPr>
        <w:t>, avril 2020</w:t>
      </w:r>
      <w:r w:rsidR="00770DF3" w:rsidRPr="00E45690">
        <w:rPr>
          <w:sz w:val="18"/>
          <w:szCs w:val="18"/>
        </w:rPr>
        <w:t xml:space="preserve"> </w:t>
      </w:r>
    </w:p>
    <w:p w:rsidR="007B6B32" w:rsidRPr="00E45690" w:rsidRDefault="007B6B32" w:rsidP="00E45690">
      <w:pPr>
        <w:spacing w:after="0"/>
        <w:rPr>
          <w:sz w:val="18"/>
          <w:szCs w:val="18"/>
        </w:rPr>
      </w:pPr>
      <w:r w:rsidRPr="00E45690">
        <w:rPr>
          <w:sz w:val="18"/>
          <w:szCs w:val="18"/>
        </w:rPr>
        <w:t>11 – Coronavirus dans le monde</w:t>
      </w:r>
      <w:r w:rsidR="00184F44" w:rsidRPr="00E45690">
        <w:rPr>
          <w:sz w:val="18"/>
          <w:szCs w:val="18"/>
        </w:rPr>
        <w:t xml:space="preserve">: </w:t>
      </w:r>
      <w:proofErr w:type="spellStart"/>
      <w:r w:rsidR="00184F44" w:rsidRPr="00E45690">
        <w:rPr>
          <w:sz w:val="18"/>
          <w:szCs w:val="18"/>
        </w:rPr>
        <w:t>déconfinement</w:t>
      </w:r>
      <w:proofErr w:type="spellEnd"/>
      <w:r w:rsidR="00184F44" w:rsidRPr="00E45690">
        <w:rPr>
          <w:sz w:val="18"/>
          <w:szCs w:val="18"/>
        </w:rPr>
        <w:t xml:space="preserve"> aux USA qui misent sur le </w:t>
      </w:r>
      <w:proofErr w:type="spellStart"/>
      <w:r w:rsidR="00184F44" w:rsidRPr="00E45690">
        <w:rPr>
          <w:sz w:val="18"/>
          <w:szCs w:val="18"/>
        </w:rPr>
        <w:t>remdesivir</w:t>
      </w:r>
      <w:proofErr w:type="spellEnd"/>
      <w:r w:rsidR="00184F44" w:rsidRPr="00E45690">
        <w:rPr>
          <w:sz w:val="18"/>
          <w:szCs w:val="18"/>
        </w:rPr>
        <w:t>,</w:t>
      </w:r>
    </w:p>
    <w:p w:rsidR="00184F44" w:rsidRPr="00E45690" w:rsidRDefault="00184F44" w:rsidP="00E45690">
      <w:pPr>
        <w:spacing w:after="0"/>
        <w:rPr>
          <w:sz w:val="18"/>
          <w:szCs w:val="18"/>
        </w:rPr>
      </w:pPr>
      <w:r w:rsidRPr="00E45690">
        <w:rPr>
          <w:sz w:val="18"/>
          <w:szCs w:val="18"/>
        </w:rPr>
        <w:t>Le Monde.fr. 2 mai 2020 en ligne</w:t>
      </w:r>
    </w:p>
    <w:p w:rsidR="007E726F" w:rsidRPr="00E45690" w:rsidRDefault="007E726F" w:rsidP="00E45690">
      <w:pPr>
        <w:spacing w:after="0"/>
        <w:rPr>
          <w:sz w:val="18"/>
          <w:szCs w:val="18"/>
        </w:rPr>
      </w:pPr>
      <w:r w:rsidRPr="00E45690">
        <w:rPr>
          <w:sz w:val="18"/>
          <w:szCs w:val="18"/>
        </w:rPr>
        <w:t>12 – Communications de l’Agence Reuter</w:t>
      </w:r>
    </w:p>
    <w:p w:rsidR="005738A9" w:rsidRPr="00E45690" w:rsidRDefault="005738A9" w:rsidP="00E45690">
      <w:pPr>
        <w:spacing w:after="0"/>
        <w:rPr>
          <w:sz w:val="18"/>
          <w:szCs w:val="18"/>
        </w:rPr>
      </w:pPr>
      <w:r w:rsidRPr="00E45690">
        <w:rPr>
          <w:sz w:val="18"/>
          <w:szCs w:val="18"/>
        </w:rPr>
        <w:t>13 – Li-</w:t>
      </w:r>
      <w:proofErr w:type="spellStart"/>
      <w:r w:rsidRPr="00E45690">
        <w:rPr>
          <w:sz w:val="18"/>
          <w:szCs w:val="18"/>
        </w:rPr>
        <w:t>Rung</w:t>
      </w:r>
      <w:proofErr w:type="spellEnd"/>
      <w:r w:rsidRPr="00E45690">
        <w:rPr>
          <w:sz w:val="18"/>
          <w:szCs w:val="18"/>
        </w:rPr>
        <w:t xml:space="preserve"> Chen and </w:t>
      </w:r>
      <w:proofErr w:type="spellStart"/>
      <w:r w:rsidRPr="00E45690">
        <w:rPr>
          <w:sz w:val="18"/>
          <w:szCs w:val="18"/>
        </w:rPr>
        <w:t>alii</w:t>
      </w:r>
      <w:proofErr w:type="spellEnd"/>
      <w:r w:rsidRPr="00E45690">
        <w:rPr>
          <w:sz w:val="18"/>
          <w:szCs w:val="18"/>
        </w:rPr>
        <w:t>,</w:t>
      </w:r>
    </w:p>
    <w:p w:rsidR="005738A9" w:rsidRPr="00E45690" w:rsidRDefault="005738A9" w:rsidP="00E45690">
      <w:pPr>
        <w:spacing w:after="0"/>
        <w:rPr>
          <w:sz w:val="18"/>
          <w:szCs w:val="18"/>
        </w:rPr>
      </w:pPr>
      <w:proofErr w:type="spellStart"/>
      <w:r w:rsidRPr="00E45690">
        <w:rPr>
          <w:sz w:val="18"/>
          <w:szCs w:val="18"/>
        </w:rPr>
        <w:t>Synthesis</w:t>
      </w:r>
      <w:proofErr w:type="spellEnd"/>
      <w:r w:rsidRPr="00E45690">
        <w:rPr>
          <w:sz w:val="18"/>
          <w:szCs w:val="18"/>
        </w:rPr>
        <w:t xml:space="preserve"> and </w:t>
      </w:r>
      <w:proofErr w:type="spellStart"/>
      <w:r w:rsidRPr="00E45690">
        <w:rPr>
          <w:sz w:val="18"/>
          <w:szCs w:val="18"/>
        </w:rPr>
        <w:t>evaluation</w:t>
      </w:r>
      <w:proofErr w:type="spellEnd"/>
      <w:r w:rsidRPr="00E45690">
        <w:rPr>
          <w:sz w:val="18"/>
          <w:szCs w:val="18"/>
        </w:rPr>
        <w:t xml:space="preserve"> of </w:t>
      </w:r>
      <w:proofErr w:type="spellStart"/>
      <w:r w:rsidRPr="00E45690">
        <w:rPr>
          <w:sz w:val="18"/>
          <w:szCs w:val="18"/>
        </w:rPr>
        <w:t>isatin</w:t>
      </w:r>
      <w:proofErr w:type="spellEnd"/>
      <w:r w:rsidRPr="00E45690">
        <w:rPr>
          <w:sz w:val="18"/>
          <w:szCs w:val="18"/>
        </w:rPr>
        <w:t xml:space="preserve"> </w:t>
      </w:r>
      <w:proofErr w:type="spellStart"/>
      <w:r w:rsidRPr="00E45690">
        <w:rPr>
          <w:sz w:val="18"/>
          <w:szCs w:val="18"/>
        </w:rPr>
        <w:t>derivatives</w:t>
      </w:r>
      <w:proofErr w:type="spellEnd"/>
      <w:r w:rsidRPr="00E45690">
        <w:rPr>
          <w:sz w:val="18"/>
          <w:szCs w:val="18"/>
        </w:rPr>
        <w:t xml:space="preserve"> as effective SARS corona virus 3CL </w:t>
      </w:r>
      <w:proofErr w:type="spellStart"/>
      <w:r w:rsidRPr="00E45690">
        <w:rPr>
          <w:sz w:val="18"/>
          <w:szCs w:val="18"/>
        </w:rPr>
        <w:t>protease</w:t>
      </w:r>
      <w:proofErr w:type="spellEnd"/>
      <w:r w:rsidRPr="00E45690">
        <w:rPr>
          <w:sz w:val="18"/>
          <w:szCs w:val="18"/>
        </w:rPr>
        <w:t xml:space="preserve"> </w:t>
      </w:r>
      <w:proofErr w:type="spellStart"/>
      <w:r w:rsidRPr="00E45690">
        <w:rPr>
          <w:sz w:val="18"/>
          <w:szCs w:val="18"/>
        </w:rPr>
        <w:t>inhibitors</w:t>
      </w:r>
      <w:proofErr w:type="spellEnd"/>
      <w:r w:rsidRPr="00E45690">
        <w:rPr>
          <w:sz w:val="18"/>
          <w:szCs w:val="18"/>
        </w:rPr>
        <w:t>,</w:t>
      </w:r>
    </w:p>
    <w:p w:rsidR="005738A9" w:rsidRPr="00E45690" w:rsidRDefault="005738A9" w:rsidP="00E45690">
      <w:pPr>
        <w:spacing w:after="0"/>
        <w:rPr>
          <w:sz w:val="18"/>
          <w:szCs w:val="18"/>
          <w:lang w:val="en-US"/>
        </w:rPr>
      </w:pPr>
      <w:proofErr w:type="spellStart"/>
      <w:r w:rsidRPr="00E45690">
        <w:rPr>
          <w:sz w:val="18"/>
          <w:szCs w:val="18"/>
          <w:lang w:val="en-US"/>
        </w:rPr>
        <w:lastRenderedPageBreak/>
        <w:t>Bioorg</w:t>
      </w:r>
      <w:proofErr w:type="spellEnd"/>
      <w:r w:rsidRPr="00E45690">
        <w:rPr>
          <w:sz w:val="18"/>
          <w:szCs w:val="18"/>
          <w:lang w:val="en-US"/>
        </w:rPr>
        <w:t xml:space="preserve"> &amp; Med Chemistry Letters 15 (2005) 3058-3062</w:t>
      </w:r>
    </w:p>
    <w:p w:rsidR="00831255" w:rsidRPr="00E45690" w:rsidRDefault="00831255" w:rsidP="00E45690">
      <w:pPr>
        <w:spacing w:after="0"/>
        <w:rPr>
          <w:sz w:val="18"/>
          <w:szCs w:val="18"/>
          <w:lang w:val="en-US"/>
        </w:rPr>
      </w:pPr>
      <w:r w:rsidRPr="00E45690">
        <w:rPr>
          <w:sz w:val="18"/>
          <w:szCs w:val="18"/>
          <w:lang w:val="en-US"/>
        </w:rPr>
        <w:t xml:space="preserve">14 </w:t>
      </w:r>
      <w:r w:rsidR="002C21ED" w:rsidRPr="00E45690">
        <w:rPr>
          <w:sz w:val="18"/>
          <w:szCs w:val="18"/>
          <w:lang w:val="en-US"/>
        </w:rPr>
        <w:t>–</w:t>
      </w:r>
      <w:r w:rsidRPr="00E45690">
        <w:rPr>
          <w:sz w:val="18"/>
          <w:szCs w:val="18"/>
          <w:lang w:val="en-US"/>
        </w:rPr>
        <w:t xml:space="preserve"> </w:t>
      </w:r>
      <w:r w:rsidR="002C21ED" w:rsidRPr="00E45690">
        <w:rPr>
          <w:sz w:val="18"/>
          <w:szCs w:val="18"/>
          <w:lang w:val="en-US"/>
        </w:rPr>
        <w:t xml:space="preserve">Co B., Wang Y. and </w:t>
      </w:r>
      <w:proofErr w:type="spellStart"/>
      <w:r w:rsidR="002C21ED" w:rsidRPr="00E45690">
        <w:rPr>
          <w:sz w:val="18"/>
          <w:szCs w:val="18"/>
          <w:lang w:val="en-US"/>
        </w:rPr>
        <w:t>alii</w:t>
      </w:r>
      <w:proofErr w:type="spellEnd"/>
      <w:r w:rsidR="002C21ED" w:rsidRPr="00E45690">
        <w:rPr>
          <w:sz w:val="18"/>
          <w:szCs w:val="18"/>
          <w:lang w:val="en-US"/>
        </w:rPr>
        <w:t>,</w:t>
      </w:r>
    </w:p>
    <w:p w:rsidR="002C21ED" w:rsidRPr="00E45690" w:rsidRDefault="002C21ED" w:rsidP="00E45690">
      <w:pPr>
        <w:spacing w:after="0"/>
        <w:rPr>
          <w:sz w:val="18"/>
          <w:szCs w:val="18"/>
          <w:lang w:val="en-US"/>
        </w:rPr>
      </w:pPr>
      <w:r w:rsidRPr="00E45690">
        <w:rPr>
          <w:sz w:val="18"/>
          <w:szCs w:val="18"/>
          <w:lang w:val="en-US"/>
        </w:rPr>
        <w:t xml:space="preserve">A trial of </w:t>
      </w:r>
      <w:proofErr w:type="spellStart"/>
      <w:r w:rsidRPr="00E45690">
        <w:rPr>
          <w:sz w:val="18"/>
          <w:szCs w:val="18"/>
          <w:lang w:val="en-US"/>
        </w:rPr>
        <w:t>Lopinavir</w:t>
      </w:r>
      <w:proofErr w:type="spellEnd"/>
      <w:r w:rsidRPr="00E45690">
        <w:rPr>
          <w:sz w:val="18"/>
          <w:szCs w:val="18"/>
          <w:lang w:val="en-US"/>
        </w:rPr>
        <w:t>-Ritonavir n adults hospitalized with severe Covid-19,</w:t>
      </w:r>
    </w:p>
    <w:p w:rsidR="002C21ED" w:rsidRPr="00E45690" w:rsidRDefault="002C21ED" w:rsidP="00E45690">
      <w:pPr>
        <w:spacing w:after="0"/>
        <w:rPr>
          <w:sz w:val="18"/>
          <w:szCs w:val="18"/>
          <w:lang w:val="en-US"/>
        </w:rPr>
      </w:pPr>
      <w:r w:rsidRPr="00E45690">
        <w:rPr>
          <w:sz w:val="18"/>
          <w:szCs w:val="18"/>
          <w:lang w:val="en-US"/>
        </w:rPr>
        <w:t>New England J of Medicine, 2020, on press</w:t>
      </w:r>
    </w:p>
    <w:p w:rsidR="00C42D32" w:rsidRPr="00E45690" w:rsidRDefault="00C42D32" w:rsidP="00E45690">
      <w:pPr>
        <w:spacing w:after="0"/>
        <w:rPr>
          <w:sz w:val="18"/>
          <w:szCs w:val="18"/>
          <w:lang w:val="en-US"/>
        </w:rPr>
      </w:pPr>
      <w:r w:rsidRPr="00E45690">
        <w:rPr>
          <w:sz w:val="18"/>
          <w:szCs w:val="18"/>
          <w:lang w:val="en-US"/>
        </w:rPr>
        <w:t xml:space="preserve">15 – </w:t>
      </w:r>
      <w:proofErr w:type="spellStart"/>
      <w:r w:rsidRPr="00E45690">
        <w:rPr>
          <w:sz w:val="18"/>
          <w:szCs w:val="18"/>
          <w:lang w:val="en-US"/>
        </w:rPr>
        <w:t>Thopmas</w:t>
      </w:r>
      <w:proofErr w:type="spellEnd"/>
      <w:r w:rsidRPr="00E45690">
        <w:rPr>
          <w:sz w:val="18"/>
          <w:szCs w:val="18"/>
          <w:lang w:val="en-US"/>
        </w:rPr>
        <w:t xml:space="preserve"> </w:t>
      </w:r>
      <w:proofErr w:type="spellStart"/>
      <w:r w:rsidRPr="00E45690">
        <w:rPr>
          <w:sz w:val="18"/>
          <w:szCs w:val="18"/>
          <w:lang w:val="en-US"/>
        </w:rPr>
        <w:t>Huet</w:t>
      </w:r>
      <w:proofErr w:type="spellEnd"/>
      <w:r w:rsidRPr="00E45690">
        <w:rPr>
          <w:sz w:val="18"/>
          <w:szCs w:val="18"/>
          <w:lang w:val="en-US"/>
        </w:rPr>
        <w:t xml:space="preserve"> and </w:t>
      </w:r>
      <w:proofErr w:type="spellStart"/>
      <w:r w:rsidRPr="00E45690">
        <w:rPr>
          <w:sz w:val="18"/>
          <w:szCs w:val="18"/>
          <w:lang w:val="en-US"/>
        </w:rPr>
        <w:t>alii</w:t>
      </w:r>
      <w:proofErr w:type="spellEnd"/>
      <w:r w:rsidRPr="00E45690">
        <w:rPr>
          <w:sz w:val="18"/>
          <w:szCs w:val="18"/>
          <w:lang w:val="en-US"/>
        </w:rPr>
        <w:t>,</w:t>
      </w:r>
    </w:p>
    <w:p w:rsidR="00C42D32" w:rsidRPr="00E45690" w:rsidRDefault="00C42D32" w:rsidP="00E45690">
      <w:pPr>
        <w:spacing w:after="0"/>
        <w:rPr>
          <w:sz w:val="18"/>
          <w:szCs w:val="18"/>
          <w:lang w:val="en-US"/>
        </w:rPr>
      </w:pPr>
      <w:proofErr w:type="spellStart"/>
      <w:r w:rsidRPr="00E45690">
        <w:rPr>
          <w:sz w:val="18"/>
          <w:szCs w:val="18"/>
          <w:lang w:val="en-US"/>
        </w:rPr>
        <w:t>Anakinra</w:t>
      </w:r>
      <w:proofErr w:type="spellEnd"/>
      <w:r w:rsidRPr="00E45690">
        <w:rPr>
          <w:sz w:val="18"/>
          <w:szCs w:val="18"/>
          <w:lang w:val="en-US"/>
        </w:rPr>
        <w:t xml:space="preserve"> for severe forms of COVID-19</w:t>
      </w:r>
    </w:p>
    <w:p w:rsidR="00C42D32" w:rsidRPr="00E45690" w:rsidRDefault="00C42D32" w:rsidP="00E45690">
      <w:pPr>
        <w:spacing w:after="0"/>
        <w:rPr>
          <w:sz w:val="18"/>
          <w:szCs w:val="18"/>
          <w:lang w:val="en-US"/>
        </w:rPr>
      </w:pPr>
      <w:r w:rsidRPr="00E45690">
        <w:rPr>
          <w:sz w:val="18"/>
          <w:szCs w:val="18"/>
          <w:lang w:val="en-US"/>
        </w:rPr>
        <w:t>The Lancet Rheumatology, 29.05.2020 in press</w:t>
      </w:r>
    </w:p>
    <w:p w:rsidR="002F3BDC" w:rsidRPr="00E45690" w:rsidRDefault="002F3BDC" w:rsidP="00E45690">
      <w:pPr>
        <w:spacing w:after="0"/>
        <w:rPr>
          <w:sz w:val="18"/>
          <w:szCs w:val="18"/>
          <w:lang w:val="en-US"/>
        </w:rPr>
      </w:pPr>
      <w:r w:rsidRPr="00E45690">
        <w:rPr>
          <w:sz w:val="18"/>
          <w:szCs w:val="18"/>
          <w:lang w:val="en-US"/>
        </w:rPr>
        <w:t xml:space="preserve">16 – </w:t>
      </w:r>
      <w:proofErr w:type="spellStart"/>
      <w:r w:rsidRPr="00E45690">
        <w:rPr>
          <w:sz w:val="18"/>
          <w:szCs w:val="18"/>
          <w:lang w:val="en-US"/>
        </w:rPr>
        <w:t>Qiong</w:t>
      </w:r>
      <w:proofErr w:type="spellEnd"/>
      <w:r w:rsidRPr="00E45690">
        <w:rPr>
          <w:sz w:val="18"/>
          <w:szCs w:val="18"/>
          <w:lang w:val="en-US"/>
        </w:rPr>
        <w:t xml:space="preserve"> Zhou and </w:t>
      </w:r>
      <w:proofErr w:type="spellStart"/>
      <w:r w:rsidRPr="00E45690">
        <w:rPr>
          <w:sz w:val="18"/>
          <w:szCs w:val="18"/>
          <w:lang w:val="en-US"/>
        </w:rPr>
        <w:t>alii</w:t>
      </w:r>
      <w:proofErr w:type="spellEnd"/>
      <w:r w:rsidRPr="00E45690">
        <w:rPr>
          <w:sz w:val="18"/>
          <w:szCs w:val="18"/>
          <w:lang w:val="en-US"/>
        </w:rPr>
        <w:t>,</w:t>
      </w:r>
    </w:p>
    <w:p w:rsidR="002F3BDC" w:rsidRPr="00E45690" w:rsidRDefault="002F3BDC" w:rsidP="00E45690">
      <w:pPr>
        <w:spacing w:after="0"/>
        <w:rPr>
          <w:sz w:val="18"/>
          <w:szCs w:val="18"/>
          <w:lang w:val="en-US"/>
        </w:rPr>
      </w:pPr>
      <w:r w:rsidRPr="00E45690">
        <w:rPr>
          <w:sz w:val="18"/>
          <w:szCs w:val="18"/>
          <w:lang w:val="en-US"/>
        </w:rPr>
        <w:t xml:space="preserve">Interferon </w:t>
      </w:r>
      <w:r w:rsidR="00F257F2" w:rsidRPr="00E45690">
        <w:rPr>
          <w:sz w:val="18"/>
          <w:szCs w:val="18"/>
          <w:lang w:val="en-US"/>
        </w:rPr>
        <w:t>–</w:t>
      </w:r>
      <w:r w:rsidRPr="00E45690">
        <w:rPr>
          <w:sz w:val="18"/>
          <w:szCs w:val="18"/>
          <w:lang w:val="en-US"/>
        </w:rPr>
        <w:t xml:space="preserve"> </w:t>
      </w:r>
      <w:r w:rsidR="00F257F2" w:rsidRPr="00E45690">
        <w:rPr>
          <w:rFonts w:ascii="Times New Roman" w:hAnsi="Times New Roman" w:cs="Times New Roman"/>
          <w:sz w:val="18"/>
          <w:szCs w:val="18"/>
          <w:lang w:val="en-US"/>
        </w:rPr>
        <w:t>α</w:t>
      </w:r>
      <w:r w:rsidR="00F257F2" w:rsidRPr="00E45690">
        <w:rPr>
          <w:sz w:val="18"/>
          <w:szCs w:val="18"/>
          <w:lang w:val="en-US"/>
        </w:rPr>
        <w:t>2b Treatment for COVID – 19,</w:t>
      </w:r>
    </w:p>
    <w:p w:rsidR="00F257F2" w:rsidRPr="00E45690" w:rsidRDefault="006401C1" w:rsidP="00E45690">
      <w:pPr>
        <w:spacing w:after="0"/>
        <w:rPr>
          <w:sz w:val="18"/>
          <w:szCs w:val="18"/>
          <w:lang w:val="en-US"/>
        </w:rPr>
      </w:pPr>
      <w:r>
        <w:rPr>
          <w:sz w:val="18"/>
          <w:szCs w:val="18"/>
          <w:lang w:val="en-US"/>
        </w:rPr>
        <w:t xml:space="preserve">Front </w:t>
      </w:r>
      <w:proofErr w:type="spellStart"/>
      <w:r>
        <w:rPr>
          <w:sz w:val="18"/>
          <w:szCs w:val="18"/>
          <w:lang w:val="en-US"/>
        </w:rPr>
        <w:t>Immun</w:t>
      </w:r>
      <w:r w:rsidR="00F257F2" w:rsidRPr="00E45690">
        <w:rPr>
          <w:sz w:val="18"/>
          <w:szCs w:val="18"/>
          <w:lang w:val="en-US"/>
        </w:rPr>
        <w:t>ol</w:t>
      </w:r>
      <w:proofErr w:type="spellEnd"/>
      <w:r w:rsidR="00F257F2" w:rsidRPr="00E45690">
        <w:rPr>
          <w:sz w:val="18"/>
          <w:szCs w:val="18"/>
          <w:lang w:val="en-US"/>
        </w:rPr>
        <w:t xml:space="preserve"> 15 May 2020</w:t>
      </w:r>
    </w:p>
    <w:p w:rsidR="00AC77C7" w:rsidRPr="00E45690" w:rsidRDefault="00354053" w:rsidP="00E45690">
      <w:pPr>
        <w:spacing w:after="0"/>
        <w:rPr>
          <w:sz w:val="18"/>
          <w:szCs w:val="18"/>
          <w:lang w:val="en-US"/>
        </w:rPr>
      </w:pPr>
      <w:r w:rsidRPr="00E45690">
        <w:rPr>
          <w:sz w:val="18"/>
          <w:szCs w:val="18"/>
          <w:lang w:val="en-US"/>
        </w:rPr>
        <w:t>17 – Ledford H.,</w:t>
      </w:r>
    </w:p>
    <w:p w:rsidR="00354053" w:rsidRPr="00E45690" w:rsidRDefault="00354053" w:rsidP="00E45690">
      <w:pPr>
        <w:spacing w:after="0"/>
        <w:rPr>
          <w:sz w:val="18"/>
          <w:szCs w:val="18"/>
          <w:lang w:val="en-US"/>
        </w:rPr>
      </w:pPr>
      <w:r w:rsidRPr="00E45690">
        <w:rPr>
          <w:sz w:val="18"/>
          <w:szCs w:val="18"/>
          <w:lang w:val="en-US"/>
        </w:rPr>
        <w:t xml:space="preserve">Coronavirus breakthrough: dexamethasone is first drug </w:t>
      </w:r>
      <w:r w:rsidR="00AC77C7" w:rsidRPr="00E45690">
        <w:rPr>
          <w:sz w:val="18"/>
          <w:szCs w:val="18"/>
          <w:lang w:val="en-US"/>
        </w:rPr>
        <w:t>shown to save lives,</w:t>
      </w:r>
    </w:p>
    <w:p w:rsidR="00AC77C7" w:rsidRPr="00E45690" w:rsidRDefault="00AC77C7" w:rsidP="00E45690">
      <w:pPr>
        <w:spacing w:after="0"/>
        <w:rPr>
          <w:sz w:val="18"/>
          <w:szCs w:val="18"/>
          <w:lang w:val="en-US"/>
        </w:rPr>
      </w:pPr>
      <w:r w:rsidRPr="00E45690">
        <w:rPr>
          <w:sz w:val="18"/>
          <w:szCs w:val="18"/>
          <w:lang w:val="en-US"/>
        </w:rPr>
        <w:t xml:space="preserve">Natures, 16 </w:t>
      </w:r>
      <w:proofErr w:type="spellStart"/>
      <w:proofErr w:type="gramStart"/>
      <w:r w:rsidRPr="00E45690">
        <w:rPr>
          <w:sz w:val="18"/>
          <w:szCs w:val="18"/>
          <w:lang w:val="en-US"/>
        </w:rPr>
        <w:t>june</w:t>
      </w:r>
      <w:proofErr w:type="spellEnd"/>
      <w:proofErr w:type="gramEnd"/>
      <w:r w:rsidRPr="00E45690">
        <w:rPr>
          <w:sz w:val="18"/>
          <w:szCs w:val="18"/>
          <w:lang w:val="en-US"/>
        </w:rPr>
        <w:t xml:space="preserve"> 2020</w:t>
      </w:r>
    </w:p>
    <w:p w:rsidR="004F3F47" w:rsidRPr="00E45690" w:rsidRDefault="004F3F47" w:rsidP="00E45690">
      <w:pPr>
        <w:spacing w:after="0"/>
        <w:rPr>
          <w:sz w:val="18"/>
          <w:szCs w:val="18"/>
          <w:lang w:val="en-US"/>
        </w:rPr>
      </w:pPr>
      <w:r w:rsidRPr="00E45690">
        <w:rPr>
          <w:sz w:val="18"/>
          <w:szCs w:val="18"/>
          <w:lang w:val="en-US"/>
        </w:rPr>
        <w:t>18</w:t>
      </w:r>
      <w:r w:rsidR="00785093" w:rsidRPr="00E45690">
        <w:rPr>
          <w:sz w:val="18"/>
          <w:szCs w:val="18"/>
          <w:lang w:val="en-US"/>
        </w:rPr>
        <w:t xml:space="preserve"> – </w:t>
      </w:r>
      <w:proofErr w:type="spellStart"/>
      <w:r w:rsidR="00785093" w:rsidRPr="00E45690">
        <w:rPr>
          <w:sz w:val="18"/>
          <w:szCs w:val="18"/>
          <w:lang w:val="en-US"/>
        </w:rPr>
        <w:t>Caly</w:t>
      </w:r>
      <w:proofErr w:type="spellEnd"/>
      <w:r w:rsidR="00785093" w:rsidRPr="00E45690">
        <w:rPr>
          <w:sz w:val="18"/>
          <w:szCs w:val="18"/>
          <w:lang w:val="en-US"/>
        </w:rPr>
        <w:t xml:space="preserve"> L., and </w:t>
      </w:r>
      <w:proofErr w:type="spellStart"/>
      <w:r w:rsidR="00785093" w:rsidRPr="00E45690">
        <w:rPr>
          <w:sz w:val="18"/>
          <w:szCs w:val="18"/>
          <w:lang w:val="en-US"/>
        </w:rPr>
        <w:t>alii</w:t>
      </w:r>
      <w:proofErr w:type="spellEnd"/>
      <w:r w:rsidR="00785093" w:rsidRPr="00E45690">
        <w:rPr>
          <w:sz w:val="18"/>
          <w:szCs w:val="18"/>
          <w:lang w:val="en-US"/>
        </w:rPr>
        <w:t>,</w:t>
      </w:r>
    </w:p>
    <w:p w:rsidR="00785093" w:rsidRPr="00E45690" w:rsidRDefault="00785093" w:rsidP="00E45690">
      <w:pPr>
        <w:spacing w:after="0"/>
        <w:rPr>
          <w:sz w:val="18"/>
          <w:szCs w:val="18"/>
          <w:lang w:val="en-US"/>
        </w:rPr>
      </w:pPr>
      <w:r w:rsidRPr="00E45690">
        <w:rPr>
          <w:sz w:val="18"/>
          <w:szCs w:val="18"/>
          <w:lang w:val="en-US"/>
        </w:rPr>
        <w:t xml:space="preserve">The FDA-approved drug </w:t>
      </w:r>
      <w:proofErr w:type="spellStart"/>
      <w:r w:rsidRPr="00E45690">
        <w:rPr>
          <w:sz w:val="18"/>
          <w:szCs w:val="18"/>
          <w:lang w:val="en-US"/>
        </w:rPr>
        <w:t>ivermectine</w:t>
      </w:r>
      <w:proofErr w:type="spellEnd"/>
      <w:r w:rsidRPr="00E45690">
        <w:rPr>
          <w:sz w:val="18"/>
          <w:szCs w:val="18"/>
          <w:lang w:val="en-US"/>
        </w:rPr>
        <w:t xml:space="preserve"> inhibits the replication of SARS-COVID-2 in vitro,</w:t>
      </w:r>
    </w:p>
    <w:p w:rsidR="00785093" w:rsidRPr="00E45690" w:rsidRDefault="00785093" w:rsidP="00E45690">
      <w:pPr>
        <w:spacing w:after="0"/>
        <w:rPr>
          <w:sz w:val="18"/>
          <w:szCs w:val="18"/>
          <w:lang w:val="en-US"/>
        </w:rPr>
      </w:pPr>
      <w:proofErr w:type="spellStart"/>
      <w:r w:rsidRPr="00E45690">
        <w:rPr>
          <w:sz w:val="18"/>
          <w:szCs w:val="18"/>
          <w:lang w:val="en-US"/>
        </w:rPr>
        <w:t>Antivitaol</w:t>
      </w:r>
      <w:proofErr w:type="spellEnd"/>
      <w:r w:rsidRPr="00E45690">
        <w:rPr>
          <w:sz w:val="18"/>
          <w:szCs w:val="18"/>
          <w:lang w:val="en-US"/>
        </w:rPr>
        <w:t xml:space="preserve"> Research, </w:t>
      </w:r>
      <w:proofErr w:type="spellStart"/>
      <w:r w:rsidRPr="00E45690">
        <w:rPr>
          <w:sz w:val="18"/>
          <w:szCs w:val="18"/>
          <w:lang w:val="en-US"/>
        </w:rPr>
        <w:t>vol</w:t>
      </w:r>
      <w:proofErr w:type="spellEnd"/>
      <w:r w:rsidRPr="00E45690">
        <w:rPr>
          <w:sz w:val="18"/>
          <w:szCs w:val="18"/>
          <w:lang w:val="en-US"/>
        </w:rPr>
        <w:t xml:space="preserve"> 178, </w:t>
      </w:r>
      <w:proofErr w:type="spellStart"/>
      <w:proofErr w:type="gramStart"/>
      <w:r w:rsidRPr="00E45690">
        <w:rPr>
          <w:sz w:val="18"/>
          <w:szCs w:val="18"/>
          <w:lang w:val="en-US"/>
        </w:rPr>
        <w:t>june</w:t>
      </w:r>
      <w:proofErr w:type="spellEnd"/>
      <w:proofErr w:type="gramEnd"/>
      <w:r w:rsidRPr="00E45690">
        <w:rPr>
          <w:sz w:val="18"/>
          <w:szCs w:val="18"/>
          <w:lang w:val="en-US"/>
        </w:rPr>
        <w:t xml:space="preserve"> 2020, 104787</w:t>
      </w:r>
    </w:p>
    <w:p w:rsidR="00040E4F" w:rsidRPr="00E45690" w:rsidRDefault="00040E4F" w:rsidP="00E45690">
      <w:pPr>
        <w:spacing w:after="0"/>
        <w:rPr>
          <w:sz w:val="18"/>
          <w:szCs w:val="18"/>
          <w:lang w:val="en-US"/>
        </w:rPr>
      </w:pPr>
      <w:r w:rsidRPr="00E45690">
        <w:rPr>
          <w:sz w:val="18"/>
          <w:szCs w:val="18"/>
          <w:lang w:val="en-US"/>
        </w:rPr>
        <w:t xml:space="preserve">19 </w:t>
      </w:r>
      <w:r w:rsidR="0035712F" w:rsidRPr="00E45690">
        <w:rPr>
          <w:sz w:val="18"/>
          <w:szCs w:val="18"/>
          <w:lang w:val="en-US"/>
        </w:rPr>
        <w:t xml:space="preserve">– </w:t>
      </w:r>
      <w:proofErr w:type="spellStart"/>
      <w:r w:rsidR="0035712F" w:rsidRPr="00E45690">
        <w:rPr>
          <w:sz w:val="18"/>
          <w:szCs w:val="18"/>
          <w:lang w:val="en-US"/>
        </w:rPr>
        <w:t>Baumelou</w:t>
      </w:r>
      <w:proofErr w:type="spellEnd"/>
      <w:r w:rsidR="0035712F" w:rsidRPr="00E45690">
        <w:rPr>
          <w:sz w:val="18"/>
          <w:szCs w:val="18"/>
          <w:lang w:val="en-US"/>
        </w:rPr>
        <w:t xml:space="preserve"> A.,</w:t>
      </w:r>
    </w:p>
    <w:p w:rsidR="0035712F" w:rsidRPr="00E45690" w:rsidRDefault="0035712F" w:rsidP="00E45690">
      <w:pPr>
        <w:spacing w:after="0"/>
        <w:rPr>
          <w:sz w:val="18"/>
          <w:szCs w:val="18"/>
        </w:rPr>
      </w:pPr>
      <w:r w:rsidRPr="00E45690">
        <w:rPr>
          <w:sz w:val="18"/>
          <w:szCs w:val="18"/>
        </w:rPr>
        <w:t>L’</w:t>
      </w:r>
      <w:proofErr w:type="spellStart"/>
      <w:r w:rsidRPr="00E45690">
        <w:rPr>
          <w:sz w:val="18"/>
          <w:szCs w:val="18"/>
        </w:rPr>
        <w:t>endothélite</w:t>
      </w:r>
      <w:proofErr w:type="spellEnd"/>
      <w:r w:rsidRPr="00E45690">
        <w:rPr>
          <w:sz w:val="18"/>
          <w:szCs w:val="18"/>
        </w:rPr>
        <w:t xml:space="preserve">, clé de l’atteinte </w:t>
      </w:r>
      <w:proofErr w:type="spellStart"/>
      <w:r w:rsidRPr="00E45690">
        <w:rPr>
          <w:sz w:val="18"/>
          <w:szCs w:val="18"/>
        </w:rPr>
        <w:t>multiviscérale</w:t>
      </w:r>
      <w:proofErr w:type="spellEnd"/>
      <w:r w:rsidRPr="00E45690">
        <w:rPr>
          <w:sz w:val="18"/>
          <w:szCs w:val="18"/>
        </w:rPr>
        <w:t xml:space="preserve"> du SARS-COV-2,</w:t>
      </w:r>
    </w:p>
    <w:p w:rsidR="0035712F" w:rsidRPr="00E45690" w:rsidRDefault="0035712F" w:rsidP="00E45690">
      <w:pPr>
        <w:spacing w:after="0"/>
        <w:rPr>
          <w:sz w:val="18"/>
          <w:szCs w:val="18"/>
        </w:rPr>
      </w:pPr>
      <w:r w:rsidRPr="00E45690">
        <w:rPr>
          <w:sz w:val="18"/>
          <w:szCs w:val="18"/>
        </w:rPr>
        <w:t>Actualité Vidal du 28 mai 2020</w:t>
      </w:r>
    </w:p>
    <w:p w:rsidR="00D75514" w:rsidRPr="00E45690" w:rsidRDefault="00D75514" w:rsidP="00E45690">
      <w:pPr>
        <w:spacing w:after="0"/>
        <w:rPr>
          <w:sz w:val="18"/>
          <w:szCs w:val="18"/>
        </w:rPr>
      </w:pPr>
      <w:r w:rsidRPr="00E45690">
        <w:rPr>
          <w:sz w:val="18"/>
          <w:szCs w:val="18"/>
        </w:rPr>
        <w:t>20 – Hôpital Universitaire de Zurich,</w:t>
      </w:r>
    </w:p>
    <w:p w:rsidR="00D75514" w:rsidRPr="00E45690" w:rsidRDefault="00D75514" w:rsidP="00E45690">
      <w:pPr>
        <w:spacing w:after="0"/>
        <w:rPr>
          <w:sz w:val="18"/>
          <w:szCs w:val="18"/>
        </w:rPr>
      </w:pPr>
      <w:r w:rsidRPr="00E45690">
        <w:rPr>
          <w:sz w:val="18"/>
          <w:szCs w:val="18"/>
        </w:rPr>
        <w:t xml:space="preserve">COVID – 19 : des anticoagulants pourraient </w:t>
      </w:r>
      <w:r w:rsidR="006401C1" w:rsidRPr="00E45690">
        <w:rPr>
          <w:sz w:val="18"/>
          <w:szCs w:val="18"/>
        </w:rPr>
        <w:t>sauver</w:t>
      </w:r>
      <w:r w:rsidRPr="00E45690">
        <w:rPr>
          <w:sz w:val="18"/>
          <w:szCs w:val="18"/>
        </w:rPr>
        <w:t xml:space="preserve"> des vies selon une étude zurichoise,</w:t>
      </w:r>
    </w:p>
    <w:p w:rsidR="00D75514" w:rsidRPr="00E45690" w:rsidRDefault="00B36F69" w:rsidP="00E45690">
      <w:pPr>
        <w:spacing w:after="0"/>
        <w:rPr>
          <w:sz w:val="18"/>
          <w:szCs w:val="18"/>
        </w:rPr>
      </w:pPr>
      <w:r w:rsidRPr="00E45690">
        <w:rPr>
          <w:sz w:val="18"/>
          <w:szCs w:val="18"/>
        </w:rPr>
        <w:t>Le Spécialiste, 23 avril 2020</w:t>
      </w:r>
    </w:p>
    <w:p w:rsidR="00B36F69" w:rsidRPr="00E45690" w:rsidRDefault="00B36F69" w:rsidP="00E45690">
      <w:pPr>
        <w:spacing w:after="0"/>
        <w:rPr>
          <w:sz w:val="18"/>
          <w:szCs w:val="18"/>
        </w:rPr>
      </w:pPr>
      <w:r w:rsidRPr="00E45690">
        <w:rPr>
          <w:sz w:val="18"/>
          <w:szCs w:val="18"/>
        </w:rPr>
        <w:t xml:space="preserve">21 – Laboratoire </w:t>
      </w:r>
      <w:proofErr w:type="spellStart"/>
      <w:r w:rsidRPr="00E45690">
        <w:rPr>
          <w:sz w:val="18"/>
          <w:szCs w:val="18"/>
        </w:rPr>
        <w:t>Biophytis</w:t>
      </w:r>
      <w:proofErr w:type="spellEnd"/>
      <w:r w:rsidRPr="00E45690">
        <w:rPr>
          <w:sz w:val="18"/>
          <w:szCs w:val="18"/>
        </w:rPr>
        <w:t>,</w:t>
      </w:r>
    </w:p>
    <w:p w:rsidR="00B36F69" w:rsidRPr="00E45690" w:rsidRDefault="00C63D66" w:rsidP="00E45690">
      <w:pPr>
        <w:spacing w:after="0"/>
        <w:rPr>
          <w:sz w:val="18"/>
          <w:szCs w:val="18"/>
        </w:rPr>
      </w:pPr>
      <w:r w:rsidRPr="00E45690">
        <w:rPr>
          <w:sz w:val="18"/>
          <w:szCs w:val="18"/>
        </w:rPr>
        <w:t xml:space="preserve">Présentation du </w:t>
      </w:r>
      <w:proofErr w:type="spellStart"/>
      <w:r w:rsidRPr="00E45690">
        <w:rPr>
          <w:sz w:val="18"/>
          <w:szCs w:val="18"/>
        </w:rPr>
        <w:t>Sarconeos</w:t>
      </w:r>
      <w:proofErr w:type="spellEnd"/>
    </w:p>
    <w:p w:rsidR="003F1714" w:rsidRPr="00E45690" w:rsidRDefault="00225B95" w:rsidP="00E45690">
      <w:pPr>
        <w:spacing w:after="0"/>
        <w:rPr>
          <w:sz w:val="18"/>
          <w:szCs w:val="18"/>
        </w:rPr>
      </w:pPr>
      <w:r w:rsidRPr="00E45690">
        <w:rPr>
          <w:sz w:val="18"/>
          <w:szCs w:val="18"/>
        </w:rPr>
        <w:t xml:space="preserve">22 </w:t>
      </w:r>
      <w:r w:rsidR="003F1714" w:rsidRPr="00E45690">
        <w:rPr>
          <w:sz w:val="18"/>
          <w:szCs w:val="18"/>
        </w:rPr>
        <w:t>–</w:t>
      </w:r>
      <w:r w:rsidRPr="00E45690">
        <w:rPr>
          <w:sz w:val="18"/>
          <w:szCs w:val="18"/>
        </w:rPr>
        <w:t xml:space="preserve"> </w:t>
      </w:r>
      <w:r w:rsidR="003F1714" w:rsidRPr="00E45690">
        <w:rPr>
          <w:sz w:val="18"/>
          <w:szCs w:val="18"/>
        </w:rPr>
        <w:t xml:space="preserve">The Lancet </w:t>
      </w:r>
      <w:proofErr w:type="spellStart"/>
      <w:r w:rsidR="003F1714" w:rsidRPr="00E45690">
        <w:rPr>
          <w:sz w:val="18"/>
          <w:szCs w:val="18"/>
        </w:rPr>
        <w:t>Infectious</w:t>
      </w:r>
      <w:proofErr w:type="spellEnd"/>
      <w:r w:rsidR="003F1714" w:rsidRPr="00E45690">
        <w:rPr>
          <w:sz w:val="18"/>
          <w:szCs w:val="18"/>
        </w:rPr>
        <w:t xml:space="preserve"> </w:t>
      </w:r>
      <w:proofErr w:type="spellStart"/>
      <w:r w:rsidR="003F1714" w:rsidRPr="00E45690">
        <w:rPr>
          <w:sz w:val="18"/>
          <w:szCs w:val="18"/>
        </w:rPr>
        <w:t>diseases</w:t>
      </w:r>
      <w:proofErr w:type="spellEnd"/>
      <w:r w:rsidR="003F1714" w:rsidRPr="00E45690">
        <w:rPr>
          <w:sz w:val="18"/>
          <w:szCs w:val="18"/>
        </w:rPr>
        <w:t>,</w:t>
      </w:r>
    </w:p>
    <w:p w:rsidR="00225B95" w:rsidRPr="00E45690" w:rsidRDefault="003F1714" w:rsidP="00E45690">
      <w:pPr>
        <w:spacing w:after="0"/>
        <w:rPr>
          <w:sz w:val="18"/>
          <w:szCs w:val="18"/>
        </w:rPr>
      </w:pPr>
      <w:proofErr w:type="spellStart"/>
      <w:r w:rsidRPr="00E45690">
        <w:rPr>
          <w:sz w:val="18"/>
          <w:szCs w:val="18"/>
        </w:rPr>
        <w:t>February</w:t>
      </w:r>
      <w:proofErr w:type="spellEnd"/>
      <w:r w:rsidRPr="00E45690">
        <w:rPr>
          <w:sz w:val="18"/>
          <w:szCs w:val="18"/>
        </w:rPr>
        <w:t xml:space="preserve"> 27, 2020 </w:t>
      </w:r>
    </w:p>
    <w:p w:rsidR="00CD6C11" w:rsidRPr="00E45690" w:rsidRDefault="00CD6C11" w:rsidP="00E45690">
      <w:pPr>
        <w:spacing w:after="0"/>
        <w:rPr>
          <w:sz w:val="18"/>
          <w:szCs w:val="18"/>
        </w:rPr>
      </w:pPr>
      <w:r w:rsidRPr="00E45690">
        <w:rPr>
          <w:sz w:val="18"/>
          <w:szCs w:val="18"/>
        </w:rPr>
        <w:t xml:space="preserve">23 </w:t>
      </w:r>
      <w:r w:rsidR="002349E0" w:rsidRPr="00E45690">
        <w:rPr>
          <w:sz w:val="18"/>
          <w:szCs w:val="18"/>
        </w:rPr>
        <w:t>– Université de Pennsylvanie,</w:t>
      </w:r>
    </w:p>
    <w:p w:rsidR="002349E0" w:rsidRPr="00E45690" w:rsidRDefault="002349E0" w:rsidP="00E45690">
      <w:pPr>
        <w:spacing w:after="0"/>
        <w:rPr>
          <w:sz w:val="18"/>
          <w:szCs w:val="18"/>
        </w:rPr>
      </w:pPr>
      <w:r w:rsidRPr="00E45690">
        <w:rPr>
          <w:sz w:val="18"/>
          <w:szCs w:val="18"/>
        </w:rPr>
        <w:t>Méta-étude des traitements anti-covid-19 utilisés entre le 01.12.2019 et le 27.03.2020, 115 médicaments et 9.152 patients,</w:t>
      </w:r>
    </w:p>
    <w:p w:rsidR="002349E0" w:rsidRPr="00E45690" w:rsidRDefault="002349E0" w:rsidP="00E45690">
      <w:pPr>
        <w:spacing w:after="0"/>
        <w:rPr>
          <w:sz w:val="18"/>
          <w:szCs w:val="18"/>
        </w:rPr>
      </w:pPr>
      <w:proofErr w:type="spellStart"/>
      <w:r w:rsidRPr="00E45690">
        <w:rPr>
          <w:sz w:val="18"/>
          <w:szCs w:val="18"/>
        </w:rPr>
        <w:t>Infectious</w:t>
      </w:r>
      <w:proofErr w:type="spellEnd"/>
      <w:r w:rsidRPr="00E45690">
        <w:rPr>
          <w:sz w:val="18"/>
          <w:szCs w:val="18"/>
        </w:rPr>
        <w:t xml:space="preserve"> </w:t>
      </w:r>
      <w:proofErr w:type="spellStart"/>
      <w:r w:rsidRPr="00E45690">
        <w:rPr>
          <w:sz w:val="18"/>
          <w:szCs w:val="18"/>
        </w:rPr>
        <w:t>Diseases</w:t>
      </w:r>
      <w:proofErr w:type="spellEnd"/>
      <w:r w:rsidRPr="00E45690">
        <w:rPr>
          <w:sz w:val="18"/>
          <w:szCs w:val="18"/>
        </w:rPr>
        <w:t xml:space="preserve"> and </w:t>
      </w:r>
      <w:proofErr w:type="spellStart"/>
      <w:r w:rsidRPr="00E45690">
        <w:rPr>
          <w:sz w:val="18"/>
          <w:szCs w:val="18"/>
        </w:rPr>
        <w:t>Therapy</w:t>
      </w:r>
      <w:proofErr w:type="spellEnd"/>
    </w:p>
    <w:p w:rsidR="002C21ED" w:rsidRDefault="002C21ED" w:rsidP="00E45690">
      <w:pPr>
        <w:spacing w:after="0"/>
        <w:rPr>
          <w:sz w:val="18"/>
          <w:szCs w:val="18"/>
        </w:rPr>
      </w:pPr>
    </w:p>
    <w:p w:rsidR="00B74CA3" w:rsidRDefault="00B74CA3" w:rsidP="00B74CA3">
      <w:pPr>
        <w:spacing w:after="0"/>
        <w:jc w:val="right"/>
        <w:rPr>
          <w:b/>
          <w:sz w:val="24"/>
          <w:szCs w:val="24"/>
        </w:rPr>
      </w:pPr>
      <w:r>
        <w:rPr>
          <w:b/>
          <w:sz w:val="24"/>
          <w:szCs w:val="24"/>
        </w:rPr>
        <w:t>Bruxelles, juin 2020</w:t>
      </w:r>
    </w:p>
    <w:p w:rsidR="00B74CA3" w:rsidRPr="00B74CA3" w:rsidRDefault="00B74CA3" w:rsidP="00B74CA3">
      <w:pPr>
        <w:spacing w:after="0"/>
        <w:jc w:val="right"/>
        <w:rPr>
          <w:b/>
          <w:sz w:val="24"/>
          <w:szCs w:val="24"/>
        </w:rPr>
      </w:pPr>
      <w:r>
        <w:rPr>
          <w:b/>
          <w:sz w:val="24"/>
          <w:szCs w:val="24"/>
        </w:rPr>
        <w:t xml:space="preserve">En phase 4 du </w:t>
      </w:r>
      <w:proofErr w:type="spellStart"/>
      <w:r w:rsidR="007E5A73">
        <w:rPr>
          <w:b/>
          <w:sz w:val="24"/>
          <w:szCs w:val="24"/>
        </w:rPr>
        <w:t>dé</w:t>
      </w:r>
      <w:r>
        <w:rPr>
          <w:b/>
          <w:sz w:val="24"/>
          <w:szCs w:val="24"/>
        </w:rPr>
        <w:t>confi</w:t>
      </w:r>
      <w:bookmarkStart w:id="0" w:name="_GoBack"/>
      <w:bookmarkEnd w:id="0"/>
      <w:r>
        <w:rPr>
          <w:b/>
          <w:sz w:val="24"/>
          <w:szCs w:val="24"/>
        </w:rPr>
        <w:t>nement</w:t>
      </w:r>
      <w:proofErr w:type="spellEnd"/>
      <w:r>
        <w:rPr>
          <w:b/>
          <w:sz w:val="24"/>
          <w:szCs w:val="24"/>
        </w:rPr>
        <w:t> !</w:t>
      </w:r>
    </w:p>
    <w:sectPr w:rsidR="00B74CA3" w:rsidRPr="00B74CA3">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DB1" w:rsidRDefault="002C5DB1" w:rsidP="002C5DB1">
      <w:pPr>
        <w:spacing w:after="0" w:line="240" w:lineRule="auto"/>
      </w:pPr>
      <w:r>
        <w:separator/>
      </w:r>
    </w:p>
  </w:endnote>
  <w:endnote w:type="continuationSeparator" w:id="0">
    <w:p w:rsidR="002C5DB1" w:rsidRDefault="002C5DB1" w:rsidP="002C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027893"/>
      <w:docPartObj>
        <w:docPartGallery w:val="Page Numbers (Bottom of Page)"/>
        <w:docPartUnique/>
      </w:docPartObj>
    </w:sdtPr>
    <w:sdtEndPr/>
    <w:sdtContent>
      <w:p w:rsidR="00BF725C" w:rsidRDefault="00BF725C">
        <w:pPr>
          <w:pStyle w:val="Pieddepage"/>
          <w:jc w:val="center"/>
        </w:pPr>
        <w:r>
          <w:fldChar w:fldCharType="begin"/>
        </w:r>
        <w:r>
          <w:instrText>PAGE   \* MERGEFORMAT</w:instrText>
        </w:r>
        <w:r>
          <w:fldChar w:fldCharType="separate"/>
        </w:r>
        <w:r w:rsidR="00930126" w:rsidRPr="00930126">
          <w:rPr>
            <w:noProof/>
            <w:lang w:val="fr-FR"/>
          </w:rPr>
          <w:t>13</w:t>
        </w:r>
        <w:r>
          <w:fldChar w:fldCharType="end"/>
        </w:r>
      </w:p>
    </w:sdtContent>
  </w:sdt>
  <w:p w:rsidR="00BF725C" w:rsidRDefault="00BF72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DB1" w:rsidRDefault="002C5DB1" w:rsidP="002C5DB1">
      <w:pPr>
        <w:spacing w:after="0" w:line="240" w:lineRule="auto"/>
      </w:pPr>
      <w:r>
        <w:separator/>
      </w:r>
    </w:p>
  </w:footnote>
  <w:footnote w:type="continuationSeparator" w:id="0">
    <w:p w:rsidR="002C5DB1" w:rsidRDefault="002C5DB1" w:rsidP="002C5DB1">
      <w:pPr>
        <w:spacing w:after="0" w:line="240" w:lineRule="auto"/>
      </w:pPr>
      <w:r>
        <w:continuationSeparator/>
      </w:r>
    </w:p>
  </w:footnote>
  <w:footnote w:id="1">
    <w:p w:rsidR="002C5DB1" w:rsidRDefault="002C5DB1">
      <w:pPr>
        <w:pStyle w:val="Notedebasdepage"/>
      </w:pPr>
      <w:r>
        <w:rPr>
          <w:rStyle w:val="Appelnotedebasdep"/>
        </w:rPr>
        <w:footnoteRef/>
      </w:r>
      <w:r>
        <w:t xml:space="preserve"> Acronyme de l’expression a</w:t>
      </w:r>
      <w:r w:rsidR="002C319B">
        <w:t>nglaise « </w:t>
      </w:r>
      <w:proofErr w:type="spellStart"/>
      <w:r w:rsidR="002C319B">
        <w:t>angiotensin</w:t>
      </w:r>
      <w:proofErr w:type="spellEnd"/>
      <w:r w:rsidR="002C319B">
        <w:t xml:space="preserve"> </w:t>
      </w:r>
      <w:proofErr w:type="spellStart"/>
      <w:r w:rsidR="002C319B">
        <w:t>converting</w:t>
      </w:r>
      <w:proofErr w:type="spellEnd"/>
      <w:r>
        <w:t xml:space="preserve"> enzyme ».</w:t>
      </w:r>
    </w:p>
  </w:footnote>
  <w:footnote w:id="2">
    <w:p w:rsidR="0055102F" w:rsidRDefault="0055102F">
      <w:pPr>
        <w:pStyle w:val="Notedebasdepage"/>
      </w:pPr>
      <w:r>
        <w:rPr>
          <w:rStyle w:val="Appelnotedebasdep"/>
        </w:rPr>
        <w:footnoteRef/>
      </w:r>
      <w:r>
        <w:t xml:space="preserve"> Dégénérescence maculaire liée à l’âge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FA005FC"/>
    <w:lvl w:ilvl="0">
      <w:start w:val="1"/>
      <w:numFmt w:val="bullet"/>
      <w:pStyle w:val="Listepuc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311"/>
    <w:rsid w:val="000329FE"/>
    <w:rsid w:val="00036BF4"/>
    <w:rsid w:val="00040E4F"/>
    <w:rsid w:val="00051C9B"/>
    <w:rsid w:val="0006183D"/>
    <w:rsid w:val="00064408"/>
    <w:rsid w:val="0008287C"/>
    <w:rsid w:val="000B2E26"/>
    <w:rsid w:val="000E0707"/>
    <w:rsid w:val="00104268"/>
    <w:rsid w:val="001150D0"/>
    <w:rsid w:val="00184F44"/>
    <w:rsid w:val="001E2A9C"/>
    <w:rsid w:val="00225B95"/>
    <w:rsid w:val="002349E0"/>
    <w:rsid w:val="0024637F"/>
    <w:rsid w:val="002722A2"/>
    <w:rsid w:val="002804DC"/>
    <w:rsid w:val="002C21ED"/>
    <w:rsid w:val="002C319B"/>
    <w:rsid w:val="002C3890"/>
    <w:rsid w:val="002C5DB1"/>
    <w:rsid w:val="002F3BDC"/>
    <w:rsid w:val="00354053"/>
    <w:rsid w:val="00354DB9"/>
    <w:rsid w:val="0035712F"/>
    <w:rsid w:val="00370DD0"/>
    <w:rsid w:val="00386D64"/>
    <w:rsid w:val="003F1714"/>
    <w:rsid w:val="0043721A"/>
    <w:rsid w:val="00463054"/>
    <w:rsid w:val="00482CF4"/>
    <w:rsid w:val="004A23C8"/>
    <w:rsid w:val="004B6311"/>
    <w:rsid w:val="004C036C"/>
    <w:rsid w:val="004C58C0"/>
    <w:rsid w:val="004F3F47"/>
    <w:rsid w:val="005147AE"/>
    <w:rsid w:val="0055102F"/>
    <w:rsid w:val="005738A9"/>
    <w:rsid w:val="005767F5"/>
    <w:rsid w:val="00587167"/>
    <w:rsid w:val="005969CF"/>
    <w:rsid w:val="005B2637"/>
    <w:rsid w:val="005E2668"/>
    <w:rsid w:val="006039C6"/>
    <w:rsid w:val="00624C23"/>
    <w:rsid w:val="006329E7"/>
    <w:rsid w:val="006401C1"/>
    <w:rsid w:val="006817F5"/>
    <w:rsid w:val="006D459A"/>
    <w:rsid w:val="006D460C"/>
    <w:rsid w:val="006F757F"/>
    <w:rsid w:val="00717D53"/>
    <w:rsid w:val="00740EE8"/>
    <w:rsid w:val="00754E39"/>
    <w:rsid w:val="00770DF3"/>
    <w:rsid w:val="007717C1"/>
    <w:rsid w:val="00785093"/>
    <w:rsid w:val="007901BE"/>
    <w:rsid w:val="007B6B32"/>
    <w:rsid w:val="007E5A73"/>
    <w:rsid w:val="007E726F"/>
    <w:rsid w:val="0080500E"/>
    <w:rsid w:val="0080618C"/>
    <w:rsid w:val="008229C7"/>
    <w:rsid w:val="00831255"/>
    <w:rsid w:val="00894A6B"/>
    <w:rsid w:val="008C4F1A"/>
    <w:rsid w:val="008E4389"/>
    <w:rsid w:val="008E4FA9"/>
    <w:rsid w:val="008E565F"/>
    <w:rsid w:val="00903893"/>
    <w:rsid w:val="00930126"/>
    <w:rsid w:val="00966A54"/>
    <w:rsid w:val="00967E2B"/>
    <w:rsid w:val="00992B01"/>
    <w:rsid w:val="009A2BA9"/>
    <w:rsid w:val="009B17F5"/>
    <w:rsid w:val="009C3111"/>
    <w:rsid w:val="009E780C"/>
    <w:rsid w:val="00A65B81"/>
    <w:rsid w:val="00A97A35"/>
    <w:rsid w:val="00AA7FC3"/>
    <w:rsid w:val="00AC361E"/>
    <w:rsid w:val="00AC455A"/>
    <w:rsid w:val="00AC77C7"/>
    <w:rsid w:val="00AE2045"/>
    <w:rsid w:val="00B04209"/>
    <w:rsid w:val="00B12621"/>
    <w:rsid w:val="00B36F69"/>
    <w:rsid w:val="00B5779B"/>
    <w:rsid w:val="00B74CA3"/>
    <w:rsid w:val="00BF21F0"/>
    <w:rsid w:val="00BF4DD1"/>
    <w:rsid w:val="00BF6E57"/>
    <w:rsid w:val="00BF725C"/>
    <w:rsid w:val="00C273BF"/>
    <w:rsid w:val="00C358EE"/>
    <w:rsid w:val="00C403B6"/>
    <w:rsid w:val="00C42D32"/>
    <w:rsid w:val="00C63D66"/>
    <w:rsid w:val="00C6703D"/>
    <w:rsid w:val="00C73159"/>
    <w:rsid w:val="00C85181"/>
    <w:rsid w:val="00CD0F0F"/>
    <w:rsid w:val="00CD6C11"/>
    <w:rsid w:val="00CF1674"/>
    <w:rsid w:val="00D34787"/>
    <w:rsid w:val="00D70465"/>
    <w:rsid w:val="00D742F8"/>
    <w:rsid w:val="00D75514"/>
    <w:rsid w:val="00DE417E"/>
    <w:rsid w:val="00E01040"/>
    <w:rsid w:val="00E10E6B"/>
    <w:rsid w:val="00E41D09"/>
    <w:rsid w:val="00E45690"/>
    <w:rsid w:val="00E82374"/>
    <w:rsid w:val="00EC396A"/>
    <w:rsid w:val="00EF4ECB"/>
    <w:rsid w:val="00F02BC3"/>
    <w:rsid w:val="00F143EE"/>
    <w:rsid w:val="00F257F2"/>
    <w:rsid w:val="00F51820"/>
    <w:rsid w:val="00F82D25"/>
    <w:rsid w:val="00F93A92"/>
    <w:rsid w:val="00FA1626"/>
    <w:rsid w:val="00FF2B9B"/>
    <w:rsid w:val="00FF2D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817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17F5"/>
    <w:rPr>
      <w:rFonts w:ascii="Tahoma" w:hAnsi="Tahoma" w:cs="Tahoma"/>
      <w:sz w:val="16"/>
      <w:szCs w:val="16"/>
    </w:rPr>
  </w:style>
  <w:style w:type="paragraph" w:styleId="Notedebasdepage">
    <w:name w:val="footnote text"/>
    <w:basedOn w:val="Normal"/>
    <w:link w:val="NotedebasdepageCar"/>
    <w:uiPriority w:val="99"/>
    <w:semiHidden/>
    <w:unhideWhenUsed/>
    <w:rsid w:val="002C5DB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5DB1"/>
    <w:rPr>
      <w:sz w:val="20"/>
      <w:szCs w:val="20"/>
    </w:rPr>
  </w:style>
  <w:style w:type="character" w:styleId="Appelnotedebasdep">
    <w:name w:val="footnote reference"/>
    <w:basedOn w:val="Policepardfaut"/>
    <w:uiPriority w:val="99"/>
    <w:semiHidden/>
    <w:unhideWhenUsed/>
    <w:rsid w:val="002C5DB1"/>
    <w:rPr>
      <w:vertAlign w:val="superscript"/>
    </w:rPr>
  </w:style>
  <w:style w:type="paragraph" w:styleId="En-tte">
    <w:name w:val="header"/>
    <w:basedOn w:val="Normal"/>
    <w:link w:val="En-tteCar"/>
    <w:uiPriority w:val="99"/>
    <w:unhideWhenUsed/>
    <w:rsid w:val="00BF725C"/>
    <w:pPr>
      <w:tabs>
        <w:tab w:val="center" w:pos="4536"/>
        <w:tab w:val="right" w:pos="9072"/>
      </w:tabs>
      <w:spacing w:after="0" w:line="240" w:lineRule="auto"/>
    </w:pPr>
  </w:style>
  <w:style w:type="character" w:customStyle="1" w:styleId="En-tteCar">
    <w:name w:val="En-tête Car"/>
    <w:basedOn w:val="Policepardfaut"/>
    <w:link w:val="En-tte"/>
    <w:uiPriority w:val="99"/>
    <w:rsid w:val="00BF725C"/>
  </w:style>
  <w:style w:type="paragraph" w:styleId="Pieddepage">
    <w:name w:val="footer"/>
    <w:basedOn w:val="Normal"/>
    <w:link w:val="PieddepageCar"/>
    <w:uiPriority w:val="99"/>
    <w:unhideWhenUsed/>
    <w:rsid w:val="00BF72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725C"/>
  </w:style>
  <w:style w:type="paragraph" w:styleId="Listepuces">
    <w:name w:val="List Bullet"/>
    <w:basedOn w:val="Normal"/>
    <w:uiPriority w:val="99"/>
    <w:unhideWhenUsed/>
    <w:rsid w:val="00E10E6B"/>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817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17F5"/>
    <w:rPr>
      <w:rFonts w:ascii="Tahoma" w:hAnsi="Tahoma" w:cs="Tahoma"/>
      <w:sz w:val="16"/>
      <w:szCs w:val="16"/>
    </w:rPr>
  </w:style>
  <w:style w:type="paragraph" w:styleId="Notedebasdepage">
    <w:name w:val="footnote text"/>
    <w:basedOn w:val="Normal"/>
    <w:link w:val="NotedebasdepageCar"/>
    <w:uiPriority w:val="99"/>
    <w:semiHidden/>
    <w:unhideWhenUsed/>
    <w:rsid w:val="002C5DB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5DB1"/>
    <w:rPr>
      <w:sz w:val="20"/>
      <w:szCs w:val="20"/>
    </w:rPr>
  </w:style>
  <w:style w:type="character" w:styleId="Appelnotedebasdep">
    <w:name w:val="footnote reference"/>
    <w:basedOn w:val="Policepardfaut"/>
    <w:uiPriority w:val="99"/>
    <w:semiHidden/>
    <w:unhideWhenUsed/>
    <w:rsid w:val="002C5DB1"/>
    <w:rPr>
      <w:vertAlign w:val="superscript"/>
    </w:rPr>
  </w:style>
  <w:style w:type="paragraph" w:styleId="En-tte">
    <w:name w:val="header"/>
    <w:basedOn w:val="Normal"/>
    <w:link w:val="En-tteCar"/>
    <w:uiPriority w:val="99"/>
    <w:unhideWhenUsed/>
    <w:rsid w:val="00BF725C"/>
    <w:pPr>
      <w:tabs>
        <w:tab w:val="center" w:pos="4536"/>
        <w:tab w:val="right" w:pos="9072"/>
      </w:tabs>
      <w:spacing w:after="0" w:line="240" w:lineRule="auto"/>
    </w:pPr>
  </w:style>
  <w:style w:type="character" w:customStyle="1" w:styleId="En-tteCar">
    <w:name w:val="En-tête Car"/>
    <w:basedOn w:val="Policepardfaut"/>
    <w:link w:val="En-tte"/>
    <w:uiPriority w:val="99"/>
    <w:rsid w:val="00BF725C"/>
  </w:style>
  <w:style w:type="paragraph" w:styleId="Pieddepage">
    <w:name w:val="footer"/>
    <w:basedOn w:val="Normal"/>
    <w:link w:val="PieddepageCar"/>
    <w:uiPriority w:val="99"/>
    <w:unhideWhenUsed/>
    <w:rsid w:val="00BF72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725C"/>
  </w:style>
  <w:style w:type="paragraph" w:styleId="Listepuces">
    <w:name w:val="List Bullet"/>
    <w:basedOn w:val="Normal"/>
    <w:uiPriority w:val="99"/>
    <w:unhideWhenUsed/>
    <w:rsid w:val="00E10E6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58A8B-2091-4FBA-9210-CE50B58E8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13</Pages>
  <Words>3795</Words>
  <Characters>20873</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BAYOT</dc:creator>
  <cp:keywords/>
  <dc:description/>
  <cp:lastModifiedBy>Dr BAYOT</cp:lastModifiedBy>
  <cp:revision>73</cp:revision>
  <dcterms:created xsi:type="dcterms:W3CDTF">2020-05-23T14:19:00Z</dcterms:created>
  <dcterms:modified xsi:type="dcterms:W3CDTF">2020-07-01T14:41:00Z</dcterms:modified>
</cp:coreProperties>
</file>